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lineRule="auto" w:line="240" w:before="240" w:after="12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/>
          <w:bCs w:val="false"/>
          <w:sz w:val="28"/>
          <w:szCs w:val="28"/>
        </w:rPr>
        <w:drawing>
          <wp:inline distT="0" distB="0" distL="0" distR="0">
            <wp:extent cx="648335" cy="9112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spacing w:before="280" w:after="0"/>
        <w:jc w:val="center"/>
        <w:rPr>
          <w:rFonts w:ascii="Times New Roman" w:hAnsi="Times New Roman" w:cs="Arial"/>
          <w:b w:val="false"/>
          <w:b w:val="false"/>
          <w:bCs w:val="false"/>
          <w:sz w:val="32"/>
          <w:szCs w:val="32"/>
        </w:rPr>
      </w:pPr>
      <w:r>
        <w:rPr>
          <w:rFonts w:cs="Arial" w:ascii="Times New Roman" w:hAnsi="Times New Roman"/>
          <w:b w:val="false"/>
          <w:bCs w:val="false"/>
          <w:sz w:val="32"/>
          <w:szCs w:val="32"/>
        </w:rPr>
        <w:t>АДМИНИСТРАЦИЯ МУНИЦИПАЛЬНОГО ОБРАЗОВАНИЯ                  «НОВОМАЛЫКЛИНСКИЙ РАЙОН»                                                                     УЛЬЯНОВСКОЙ ОБЛАСТИ</w:t>
      </w:r>
    </w:p>
    <w:p>
      <w:pPr>
        <w:pStyle w:val="Style21"/>
        <w:tabs>
          <w:tab w:val="left" w:pos="1410" w:leader="none"/>
        </w:tabs>
        <w:spacing w:before="280" w:after="0"/>
        <w:jc w:val="center"/>
        <w:rPr>
          <w:rFonts w:ascii="Times New Roman" w:hAnsi="Times New Roman" w:cs="Arial"/>
          <w:b/>
          <w:b/>
          <w:bCs/>
          <w:sz w:val="48"/>
          <w:szCs w:val="48"/>
        </w:rPr>
      </w:pPr>
      <w:r>
        <w:rPr>
          <w:rFonts w:cs="Arial" w:ascii="Times New Roman" w:hAnsi="Times New Roman"/>
          <w:b/>
          <w:bCs/>
          <w:sz w:val="48"/>
          <w:szCs w:val="48"/>
        </w:rPr>
        <w:t>ПОСТАНОВЛЕНИЕ</w:t>
      </w:r>
    </w:p>
    <w:p>
      <w:pPr>
        <w:pStyle w:val="Style21"/>
        <w:spacing w:before="280" w:after="0"/>
        <w:rPr>
          <w:rFonts w:ascii="Arial" w:hAnsi="Arial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06 марта 2025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165</w:t>
      </w:r>
    </w:p>
    <w:p>
      <w:pPr>
        <w:pStyle w:val="Style21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21"/>
        <w:spacing w:before="280" w:after="0"/>
        <w:rPr>
          <w:rFonts w:ascii="Times New Roman" w:hAnsi="Times New Roman" w:cs="Times New Roman CYR"/>
          <w:sz w:val="28"/>
          <w:szCs w:val="28"/>
          <w:u w:val="none"/>
        </w:rPr>
      </w:pPr>
      <w:r>
        <w:rPr>
          <w:rFonts w:cs="Times New Roman CYR" w:ascii="Times New Roman" w:hAnsi="Times New Roman"/>
          <w:sz w:val="28"/>
          <w:szCs w:val="28"/>
          <w:u w:val="none"/>
        </w:rPr>
        <w:t>О  внесении изменений  в  постановление</w:t>
      </w:r>
    </w:p>
    <w:p>
      <w:pPr>
        <w:pStyle w:val="Style21"/>
        <w:tabs>
          <w:tab w:val="left" w:pos="3960" w:leader="none"/>
          <w:tab w:val="left" w:pos="4140" w:leader="none"/>
        </w:tabs>
        <w:spacing w:before="0" w:after="0"/>
        <w:ind w:left="0" w:right="0" w:hanging="0"/>
        <w:jc w:val="left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 xml:space="preserve">администрации                муниципального </w:t>
      </w:r>
    </w:p>
    <w:p>
      <w:pPr>
        <w:pStyle w:val="Style21"/>
        <w:tabs>
          <w:tab w:val="left" w:pos="3960" w:leader="none"/>
          <w:tab w:val="left" w:pos="4140" w:leader="none"/>
        </w:tabs>
        <w:spacing w:before="0" w:after="0"/>
        <w:ind w:left="0" w:right="0" w:hanging="0"/>
        <w:jc w:val="left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 xml:space="preserve">образования «Новомалыклинский  район» </w:t>
      </w:r>
    </w:p>
    <w:p>
      <w:pPr>
        <w:pStyle w:val="Style21"/>
        <w:tabs>
          <w:tab w:val="left" w:pos="3960" w:leader="none"/>
          <w:tab w:val="left" w:pos="4140" w:leader="none"/>
        </w:tabs>
        <w:spacing w:before="0" w:after="0"/>
        <w:ind w:left="0" w:right="0" w:hanging="0"/>
        <w:jc w:val="left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>от 30.12.2021  № 810</w:t>
      </w:r>
    </w:p>
    <w:p>
      <w:pPr>
        <w:pStyle w:val="Style21"/>
        <w:tabs>
          <w:tab w:val="left" w:pos="3960" w:leader="none"/>
          <w:tab w:val="left" w:pos="4140" w:leader="none"/>
        </w:tabs>
        <w:spacing w:before="0" w:after="0"/>
        <w:ind w:left="0" w:right="0" w:hanging="0"/>
        <w:jc w:val="left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 постановляю:</w:t>
      </w:r>
    </w:p>
    <w:p>
      <w:pPr>
        <w:pStyle w:val="Style22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1.Внести в постановление администрации муниципального образования «Новомалыклинский район» от 30.12.2021 № 810 «Об утверждении муниципальной программы  </w:t>
      </w:r>
      <w:r>
        <w:rPr>
          <w:rFonts w:cs="Times New Roman CYR" w:ascii="Times New Roman" w:hAnsi="Times New Roman"/>
          <w:sz w:val="28"/>
          <w:szCs w:val="28"/>
        </w:rPr>
        <w:t>«Развитие туризма в</w:t>
      </w:r>
      <w:r>
        <w:rPr>
          <w:rFonts w:cs="Times New Roman CYR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 CYR" w:ascii="Times New Roman" w:hAnsi="Times New Roman"/>
          <w:sz w:val="28"/>
          <w:szCs w:val="28"/>
        </w:rPr>
        <w:t xml:space="preserve">муниципальном       образовании   «Новомалыклинский район» </w:t>
      </w:r>
      <w:r>
        <w:rPr>
          <w:rFonts w:cs="Times New Roman" w:ascii="Times New Roman" w:hAnsi="Times New Roman"/>
          <w:sz w:val="28"/>
          <w:szCs w:val="28"/>
        </w:rPr>
        <w:t xml:space="preserve">  следующие изменения:</w:t>
      </w:r>
    </w:p>
    <w:p>
      <w:pPr>
        <w:pStyle w:val="Style22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1.1.Приложение к указанному постановлению «Муниципальная программа «Развитие туризма в муниципальном образовании «Новомалыклинский район» изложить в новой редакции: «</w:t>
      </w:r>
    </w:p>
    <w:p>
      <w:pPr>
        <w:pStyle w:val="Style21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2.Признать утратившим силу следующие постановлени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«Новомалыклинский район» :</w:t>
      </w:r>
    </w:p>
    <w:p>
      <w:pPr>
        <w:pStyle w:val="Style21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от 27.02.2024 № 167 «О внесении изменений в постановление администрации муниципального образования «Новомалыклинский район» от 30.12.2021 № 810»;</w:t>
      </w:r>
    </w:p>
    <w:p>
      <w:pPr>
        <w:pStyle w:val="Style21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после его обнародования и  подлежит размещению на официальном сайте муниципального образования в информационно – телекоммуникационной сети «Интернет».</w:t>
      </w:r>
    </w:p>
    <w:p>
      <w:pPr>
        <w:pStyle w:val="Style21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val="ru-RU"/>
        </w:rPr>
        <w:t xml:space="preserve">и.о.первого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 муниципального образования «Новомалыклинский район» </w:t>
      </w:r>
      <w:r>
        <w:rPr>
          <w:rFonts w:ascii="Times New Roman" w:hAnsi="Times New Roman"/>
          <w:sz w:val="28"/>
          <w:szCs w:val="28"/>
          <w:lang w:val="ru-RU"/>
        </w:rPr>
        <w:t>Сабадзе Т.В.</w:t>
      </w:r>
    </w:p>
    <w:p>
      <w:pPr>
        <w:pStyle w:val="Style2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муниципального </w:t>
      </w:r>
    </w:p>
    <w:p>
      <w:pPr>
        <w:pStyle w:val="Style2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Новомалыклинский район»                                      С.Д.Катиркина</w:t>
      </w:r>
    </w:p>
    <w:p>
      <w:pPr>
        <w:pStyle w:val="Style14"/>
        <w:spacing w:lineRule="auto" w:line="240" w:before="240" w:after="12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Приложение</w:t>
      </w:r>
    </w:p>
    <w:p>
      <w:pPr>
        <w:pStyle w:val="Style14"/>
        <w:spacing w:lineRule="auto" w:line="240" w:before="240" w:after="12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>
      <w:pPr>
        <w:pStyle w:val="Normal"/>
        <w:tabs>
          <w:tab w:val="left" w:pos="3798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tabs>
          <w:tab w:val="left" w:pos="379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     образования </w:t>
      </w:r>
    </w:p>
    <w:p>
      <w:pPr>
        <w:pStyle w:val="Normal"/>
        <w:tabs>
          <w:tab w:val="left" w:pos="379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«Новомалыклинский   район»</w:t>
      </w:r>
    </w:p>
    <w:p>
      <w:pPr>
        <w:pStyle w:val="Normal"/>
        <w:tabs>
          <w:tab w:val="left" w:pos="501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165</w:t>
      </w:r>
      <w:r>
        <w:rPr>
          <w:rFonts w:ascii="Times New Roman" w:hAnsi="Times New Roman"/>
          <w:sz w:val="28"/>
          <w:szCs w:val="28"/>
        </w:rPr>
        <w:t xml:space="preserve"> от  « </w:t>
      </w:r>
      <w:r>
        <w:rPr>
          <w:rFonts w:ascii="Times New Roman" w:hAnsi="Times New Roman"/>
          <w:sz w:val="28"/>
          <w:szCs w:val="28"/>
          <w:u w:val="single"/>
        </w:rPr>
        <w:t xml:space="preserve">06 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>марта  2025 г.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enter" w:pos="4568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enter" w:pos="4568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-1872" w:right="0" w:firstLine="1164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-1872" w:right="0" w:firstLine="1164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</w:t>
      </w:r>
    </w:p>
    <w:p>
      <w:pPr>
        <w:pStyle w:val="Normal"/>
        <w:ind w:left="-1872" w:right="0" w:firstLine="1164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</w:r>
    </w:p>
    <w:p>
      <w:pPr>
        <w:pStyle w:val="Normal"/>
        <w:ind w:left="-1872" w:right="0" w:firstLine="1164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</w:t>
      </w:r>
      <w:r>
        <w:rPr>
          <w:rFonts w:ascii="Times New Roman" w:hAnsi="Times New Roman"/>
          <w:b/>
          <w:bCs/>
          <w:sz w:val="48"/>
          <w:szCs w:val="48"/>
        </w:rPr>
        <w:t xml:space="preserve">МУНИЦИПАЛЬНАЯ ПРОГРАММА </w:t>
      </w:r>
    </w:p>
    <w:p>
      <w:pPr>
        <w:pStyle w:val="Normal"/>
        <w:tabs>
          <w:tab w:val="left" w:pos="1280" w:leader="none"/>
        </w:tabs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«Развитие туризма в муниципальном образовании Новомалыклинский район»</w:t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36"/>
          <w:szCs w:val="28"/>
        </w:rPr>
      </w:pPr>
      <w:r>
        <w:rPr>
          <w:rFonts w:ascii="Times New Roman" w:hAnsi="Times New Roman"/>
          <w:b w:val="false"/>
          <w:bCs w:val="false"/>
          <w:sz w:val="36"/>
          <w:szCs w:val="28"/>
        </w:rPr>
        <w:t xml:space="preserve"> </w:t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36"/>
          <w:szCs w:val="28"/>
        </w:rPr>
      </w:pPr>
      <w:r>
        <w:rPr>
          <w:rFonts w:cs="Times New Roman" w:ascii="Times New Roman" w:hAnsi="Times New Roman"/>
          <w:b w:val="false"/>
          <w:bCs w:val="false"/>
          <w:sz w:val="36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240" w:after="12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240" w:after="12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 А С П О Р Т</w:t>
        <w:br/>
        <w:t xml:space="preserve">МУНИЦИПАЛЬНОЙ   ПРОГРАММЫ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602" w:type="dxa"/>
        <w:jc w:val="left"/>
        <w:tblInd w:w="-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" w:type="dxa"/>
          <w:bottom w:w="102" w:type="dxa"/>
          <w:right w:w="62" w:type="dxa"/>
        </w:tblCellMar>
      </w:tblPr>
      <w:tblGrid>
        <w:gridCol w:w="3794"/>
        <w:gridCol w:w="5807"/>
      </w:tblGrid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Lucida Sans Unicode" w:cs="Mangal" w:ascii="Times New Roman" w:hAnsi="Times New Roman"/>
                <w:color w:val="000000"/>
                <w:sz w:val="28"/>
                <w:szCs w:val="28"/>
                <w:lang w:val="ru-RU" w:bidi="hi-IN"/>
              </w:rPr>
              <w:t xml:space="preserve">«Развитие туризма в муниципальном образовании «Новомалыклинский район» 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Администрация муниципального образования «Новомалыклинский район» 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Подпрограммы  муниципальной 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нет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Цели и задачи  муниципальной 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ормирование  системы поддержки развития туристической отрасли и инфраструктуры на территории Новомалыклинского района; -повышение инвестиционной привлекательности;</w:t>
            </w:r>
          </w:p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-формирование новых объектов экскурсионного показа;</w:t>
            </w:r>
          </w:p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-увеличение рынка туристических услуг; -продвижение туристических ресурсов Новомалыклинского района  на внутреннем туристическом рынке;</w:t>
            </w:r>
          </w:p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создание условий для эффективного развития туристической отрасли;</w:t>
            </w:r>
          </w:p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-разработка районной символики и коммерческого бренда района</w:t>
            </w:r>
          </w:p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Целевые индикаторы 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-количество разработанных туристических маршрутов (в год);</w:t>
            </w:r>
          </w:p>
          <w:p>
            <w:pPr>
              <w:pStyle w:val="Style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-количество информационных материалов  о туристическом потенциале района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(в год)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-количество изготовленных наружных рекламных щитов с указанием туристических центров, маршрутов, рекламной продукции (в год).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2022-2026 годы ,</w:t>
            </w:r>
          </w:p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Ресурсное обеспечение  муниципальной программы с разбивкой по этапам и годам реализации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Normal"/>
              <w:widowControl/>
              <w:spacing w:before="0" w:after="0"/>
              <w:ind w:left="32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Общий объем финансирования мероприятий муниципальной программы за счет бюджетных ассигнований составляет 240,0 тыс. рублей, в том числе: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  рублей</w:t>
            </w:r>
            <w:bookmarkStart w:id="0" w:name="__DdeLink__3045_3735676384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 рублей;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 рублей ;</w:t>
            </w:r>
          </w:p>
          <w:p>
            <w:pPr>
              <w:pStyle w:val="Normal"/>
              <w:tabs>
                <w:tab w:val="left" w:pos="409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120,0 тыс. рублей, бюджет  муниципального  образования  «Новомалыклинский  район»;</w:t>
            </w:r>
          </w:p>
          <w:p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120,0 тыс. рублей, бюджет  муниципального  образования  «Новомалыклинский  район».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Не  предусмотрено</w:t>
            </w:r>
          </w:p>
        </w:tc>
      </w:tr>
      <w:tr>
        <w:trPr>
          <w:trHeight w:val="3351" w:hRule="atLeast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" w:type="dxa"/>
            </w:tcMar>
          </w:tcPr>
          <w:p>
            <w:pPr>
              <w:pStyle w:val="Style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разработать 10  новых туристических маршрута на территории Новомалыклинского района;</w:t>
            </w:r>
          </w:p>
          <w:p>
            <w:pPr>
              <w:pStyle w:val="Style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-разработать презентационные материалы о туристическом потенциале Новомалыклинско- го  района Ульяновской области- 14шт;</w:t>
            </w:r>
          </w:p>
          <w:p>
            <w:pPr>
              <w:pStyle w:val="Style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разместить наружную рекламу в количестве - 20 шт (указателей, баннеров, вывесок, растяжек)</w:t>
            </w:r>
          </w:p>
        </w:tc>
      </w:tr>
    </w:tbl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Введение.</w:t>
      </w:r>
    </w:p>
    <w:p>
      <w:pPr>
        <w:pStyle w:val="Normal"/>
        <w:tabs>
          <w:tab w:val="left" w:pos="409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Программа основана на положениях Гражданского кодекса Российской Федерации, Федерального закона от 24.11.1996 № 132-ФЗ «Об основах туристической деятельности в Российской Федерации», Закона Ульяновской области «О некоторых мерах по развитию туристической деятельности на территории Ульяновской области» от 10.03.2010 № 23-ЗО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>Программа представляет собой целевой документ по развитию туризма на территории Новомалыклинского района и включает в себя приоритеты для развития туризма на территории муниципальных образований района.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>Программа направлена на формирование и развитие системы поддержки индустрии туризма на территории Новомалыклинского района, создание благоприятного инвестиционного климата, развитие системы безопасного и качественного отдыха, развитие системы информирования туристов и туроператоров о туристских продуктах.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>Современное состояние туризма в Новомалыклинском районе можно оценить, как недостаточно развитое. При наличии благоприятных факторов потенциал туризма в социально — экономической структуре района остается мало востребованным. Въездной и внутренний туризм развит односторонне и слабо. Часть туристических ресурсов и объектов туристической инфраструктуры утрачена (разрушена), либо используется не по назначению, либо вообще не используется. Многие объекты показа - историко — архитектурные памятники требуют срочной реставрации. На сегодняшний  день  нет поступлений в доходную часть бюджета муниципального образования «Новомалыклинский район» от туристической деятельности.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>Отсутствие поступлений в доходную часть  бюджета муниципального образования «Новомалыклинский район» связаны со следующими факторами:</w:t>
      </w:r>
    </w:p>
    <w:p>
      <w:pPr>
        <w:pStyle w:val="Style15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слабой развитостью туристской инфраструктуры;</w:t>
      </w:r>
    </w:p>
    <w:p>
      <w:pPr>
        <w:pStyle w:val="Style15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недостаточным количеством объектов посещений;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отсутствием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маркетинговых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исследований, позволяющих прогнозировать развитие туристского рынка и изучать собственный туристский потенциал;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отсутствием механизмов использования и продвижения туристских возможностей территории;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отсутствием системы муниципального регулирования туристической отрасли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Новомалыклинского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района;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- отсутствием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lang w:val="ru-RU"/>
        </w:rPr>
        <w:t xml:space="preserve">профессиональных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туристских кадров.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повышения эффективности работы туристской отрасли муниципального образования. планируется провести работу по улучшению качества районного турпродукта, развивая уже имеющийся потенциал и находя новые точки роста.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настоящее время привлекательными для туристов в Новомалыклинском районе является культурно — событийный,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lang w:val="ru-RU" w:eastAsia="ru-RU"/>
        </w:rPr>
        <w:t>природно-ландшафтный туризм,  оздоровительный и рекреационный туризм.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lang w:val="ru-RU" w:eastAsia="ru-RU"/>
        </w:rPr>
        <w:tab/>
        <w:t>Муниципальной  Программой запланировано проведение мероприятий, направленных на развитие и поддержку туризма  в  районе.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Организация управления 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реализацией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муниципальной программ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ы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управления реализацией муниципальной программы осуществляется заказчиком - администрацией муниципального образования «Новомалыклинский район»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район», а также правилами осуществления контроля за ходом их реализации.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приложении № 1 </w:t>
      </w:r>
      <w:r>
        <w:rPr>
          <w:rFonts w:cs="Times New Roman" w:ascii="Times New Roman" w:hAnsi="Times New Roman"/>
          <w:sz w:val="28"/>
          <w:szCs w:val="28"/>
        </w:rPr>
        <w:t>к муниципальной программе.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Система мероприятий муниципальной программы </w:t>
      </w: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eastAsia="Lucida Sans Unicode" w:cs="Mangal" w:ascii="Times New Roman" w:hAnsi="Times New Roman"/>
          <w:color w:val="000000"/>
          <w:sz w:val="28"/>
          <w:szCs w:val="28"/>
          <w:lang w:val="ru-RU" w:bidi="hi-IN"/>
        </w:rPr>
        <w:t xml:space="preserve">«Развитие туризма в муниципальном образовании «Новомалыклинский район» </w:t>
      </w:r>
      <w:r>
        <w:rPr>
          <w:rFonts w:cs="Arial" w:ascii="Times New Roman" w:hAnsi="Times New Roman"/>
          <w:sz w:val="28"/>
          <w:szCs w:val="28"/>
        </w:rPr>
        <w:t xml:space="preserve"> Ульяновской области п</w:t>
      </w:r>
      <w:r>
        <w:rPr>
          <w:rFonts w:cs="Times New Roman" w:ascii="Times New Roman" w:hAnsi="Times New Roman"/>
          <w:sz w:val="28"/>
          <w:szCs w:val="28"/>
        </w:rPr>
        <w:t>редставлена в приложении № 2 к муниципальной программе.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реализации мероприятий  программы потребуется  соответствующее  ресурсное обеспечение: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Организационно-методическое. Разработка нормативно-правовых документов в  части  организации  и проведения  мероприятий.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Финансовое.  Финансирование мероприятий  программы за  счет  средств муниципального бюджета.</w:t>
      </w:r>
    </w:p>
    <w:p>
      <w:pPr>
        <w:pStyle w:val="ConsPlusNormal"/>
        <w:numPr>
          <w:ilvl w:val="0"/>
          <w:numId w:val="0"/>
        </w:numPr>
        <w:ind w:left="0" w:right="0" w:hanging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 бюджетных  ассигнований на  финансовое  обеспечение  реализации программы устанавливается  Решением  Совета  депутатов  муниципального  образования  «Новомалыклинский  район» на  очередной  финансовый  год и плановый период.</w:t>
      </w:r>
    </w:p>
    <w:p>
      <w:pPr>
        <w:pStyle w:val="ConsPlusNormal"/>
        <w:numPr>
          <w:ilvl w:val="0"/>
          <w:numId w:val="0"/>
        </w:numPr>
        <w:ind w:left="0" w:right="0" w:hanging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Потребность  в  ресурсах на  реализацию  мероприятий  программы с  разбивкой по  срокам указана в   приложении № 2 к  муниципальной  программе.                                                                                                 </w:t>
      </w:r>
    </w:p>
    <w:p>
      <w:pPr>
        <w:pStyle w:val="ConsPlusNormal"/>
        <w:numPr>
          <w:ilvl w:val="0"/>
          <w:numId w:val="0"/>
        </w:numPr>
        <w:ind w:left="0" w:right="0" w:hanging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№1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280" w:after="28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целевых индикаторов муниципальной программы         </w:t>
      </w:r>
      <w:r>
        <w:rPr>
          <w:rFonts w:eastAsia="Lucida Sans Unicode" w:cs="Mangal" w:ascii="Times New Roman" w:hAnsi="Times New Roman"/>
          <w:b/>
          <w:color w:val="000000"/>
          <w:sz w:val="28"/>
          <w:szCs w:val="28"/>
          <w:lang w:val="ru-RU" w:bidi="hi-IN"/>
        </w:rPr>
        <w:t xml:space="preserve">«Развитие туризма в муниципальном образовании        «Новомалыклинский район» </w:t>
      </w:r>
      <w:r>
        <w:rPr>
          <w:rFonts w:cs="Arial" w:ascii="Times New Roman" w:hAnsi="Times New Roman"/>
          <w:b/>
          <w:sz w:val="28"/>
          <w:szCs w:val="28"/>
        </w:rPr>
        <w:t xml:space="preserve"> 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378"/>
      <w:bookmarkStart w:id="2" w:name="P378"/>
      <w:bookmarkEnd w:id="2"/>
      <w:r>
        <w:rPr>
          <w:rFonts w:ascii="Times New Roman" w:hAnsi="Times New Roman"/>
          <w:sz w:val="28"/>
          <w:szCs w:val="28"/>
        </w:rPr>
      </w:r>
    </w:p>
    <w:tbl>
      <w:tblPr>
        <w:tblW w:w="10255" w:type="dxa"/>
        <w:jc w:val="left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571"/>
        <w:gridCol w:w="3114"/>
        <w:gridCol w:w="1190"/>
        <w:gridCol w:w="1533"/>
        <w:gridCol w:w="913"/>
        <w:gridCol w:w="781"/>
        <w:gridCol w:w="734"/>
        <w:gridCol w:w="685"/>
        <w:gridCol w:w="733"/>
      </w:tblGrid>
      <w:tr>
        <w:trPr/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Единица измере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Базовое значение целевого индикатора</w:t>
            </w:r>
          </w:p>
        </w:tc>
        <w:tc>
          <w:tcPr>
            <w:tcW w:w="38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</w:tr>
      <w:tr>
        <w:trPr/>
        <w:tc>
          <w:tcPr>
            <w:tcW w:w="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2026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разработанных туристических маршрутов.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Style2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Количество информационных материалов  о туристическом потенциале района.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Количество изготовленных наружных рекламных щитов с указанием туристических центров, маршрутов, рекламной продукции.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567" w:header="0" w:top="567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ПРИЛОЖЕНИЕ № 2</w:t>
      </w:r>
    </w:p>
    <w:p>
      <w:pPr>
        <w:pStyle w:val="ConsPlusNormal"/>
        <w:numPr>
          <w:ilvl w:val="0"/>
          <w:numId w:val="0"/>
        </w:numPr>
        <w:ind w:left="9639" w:right="0" w:hanging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Система мероприятий муниципальной программы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4850" w:type="dxa"/>
        <w:jc w:val="left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</w:tblPr>
      <w:tblGrid>
        <w:gridCol w:w="684"/>
        <w:gridCol w:w="2435"/>
        <w:gridCol w:w="1585"/>
        <w:gridCol w:w="1705"/>
        <w:gridCol w:w="2492"/>
        <w:gridCol w:w="879"/>
        <w:gridCol w:w="1081"/>
        <w:gridCol w:w="1079"/>
        <w:gridCol w:w="1081"/>
        <w:gridCol w:w="900"/>
        <w:gridCol w:w="927"/>
      </w:tblGrid>
      <w:tr>
        <w:trPr/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Предполагаемый срок реализации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 xml:space="preserve">Объем финансового обеспечения реализации мероприятий </w:t>
            </w:r>
          </w:p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по годам, тыс. руб.</w:t>
            </w:r>
          </w:p>
        </w:tc>
      </w:tr>
      <w:tr>
        <w:trPr/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Ответственные исполнители мероприятий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2025. год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2026. год</w:t>
            </w:r>
          </w:p>
        </w:tc>
      </w:tr>
      <w:tr>
        <w:trPr>
          <w:trHeight w:val="438" w:hRule="atLeast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/>
              </w:rPr>
              <w:t>Разработка туристических маршрутов</w:t>
            </w: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 xml:space="preserve">Всего, в том числе: бюджет МО  «Новомалыклинский район» 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>
          <w:trHeight w:val="431" w:hRule="atLeast"/>
        </w:trPr>
        <w:tc>
          <w:tcPr>
            <w:tcW w:w="6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/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Содействие в организации информирования туристов о туристическом потенциале района:</w:t>
            </w:r>
          </w:p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-выпуск туристического путеводителя Новомалыклинского района;</w:t>
            </w:r>
          </w:p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-выпуск тематических буклетов культурно-исторического наследия района</w:t>
            </w:r>
          </w:p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 МО  «Новомалыклинский район»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/>
        <w:tc>
          <w:tcPr>
            <w:tcW w:w="6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/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Изготовление наружных рекламных щитов с указанием туристических центров, маршрутов,</w:t>
            </w:r>
          </w:p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рекламной продукции</w:t>
            </w: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 МО  «Новомалыклинский район»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/>
        <w:tc>
          <w:tcPr>
            <w:tcW w:w="6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/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Проведение благоустройства проезжей части улиц и тротуаров на туристических маршрутах, в том числе снос сухостойных и аварийных деревьев.</w:t>
            </w: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 МО  «Новомалыклинский район»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</w:tr>
      <w:tr>
        <w:trPr/>
        <w:tc>
          <w:tcPr>
            <w:tcW w:w="6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</w:tr>
      <w:tr>
        <w:trPr/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Проведение национальных праздников «Акатуй», «Сабантуй», «Шумбрат чи».</w:t>
            </w: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 МО  «Новомалыклинский район»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/>
        <w:tc>
          <w:tcPr>
            <w:tcW w:w="6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>
          <w:trHeight w:val="604" w:hRule="atLeast"/>
        </w:trPr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открытого районного фестиваля культур народов Поволжья «Малыклинский каравай»</w:t>
            </w: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 МО  «Новомалыклинский район»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>
        <w:trPr/>
        <w:tc>
          <w:tcPr>
            <w:tcW w:w="6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>
        <w:trPr/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Всего по муниципальной программе</w:t>
            </w: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 МО  «Новомалыклинский район»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>
        <w:trPr/>
        <w:tc>
          <w:tcPr>
            <w:tcW w:w="6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cs="Arial" w:ascii="PT Astra Serif" w:hAnsi="PT Astra Serif"/>
                <w:sz w:val="20"/>
                <w:szCs w:val="2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</w:tcPr>
          <w:p>
            <w:pPr>
              <w:pStyle w:val="ConsPlusNormal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left"/>
        <w:outlineLvl w:val="1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Unicode MS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uppressLineNumbers/>
      <w:tabs>
        <w:tab w:val="center" w:pos="4819" w:leader="none"/>
        <w:tab w:val="right" w:pos="9638" w:leader="none"/>
      </w:tabs>
      <w:spacing w:before="0" w:after="200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9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b/>
      <w:color w:val="00000A"/>
      <w:sz w:val="24"/>
      <w:szCs w:val="20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jc w:val="left"/>
    </w:pPr>
    <w:rPr>
      <w:rFonts w:ascii="Arial" w:hAnsi="Arial" w:eastAsia="Times New Roman" w:cs="Times New Roman"/>
      <w:color w:val="00000A"/>
      <w:sz w:val="22"/>
      <w:szCs w:val="22"/>
      <w:lang w:val="ru-RU" w:eastAsia="zh-CN" w:bidi="ar-SA"/>
    </w:rPr>
  </w:style>
  <w:style w:type="paragraph" w:styleId="1">
    <w:name w:val="Обычный1"/>
    <w:qFormat/>
    <w:pPr>
      <w:widowControl/>
      <w:suppressAutoHyphens w:val="true"/>
      <w:overflowPunct w:val="false"/>
      <w:bidi w:val="0"/>
      <w:spacing w:lineRule="atLeast" w:line="10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-RU" w:eastAsia="zh-CN" w:bidi="ar-SA"/>
    </w:rPr>
  </w:style>
  <w:style w:type="paragraph" w:styleId="Style19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Обычный (веб)"/>
    <w:basedOn w:val="Normal"/>
    <w:qFormat/>
    <w:pPr>
      <w:spacing w:before="280" w:after="119"/>
    </w:pPr>
    <w:rPr/>
  </w:style>
  <w:style w:type="paragraph" w:styleId="Style22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zh-CN" w:bidi="ar-SA"/>
    </w:rPr>
  </w:style>
  <w:style w:type="paragraph" w:styleId="Style23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629</TotalTime>
  <Application>LibreOffice/5.2.1.2$Windows_x86 LibreOffice_project/31dd62db80d4e60af04904455ec9c9219178d620</Application>
  <Pages>9</Pages>
  <Words>1322</Words>
  <Characters>9804</Characters>
  <CharactersWithSpaces>12566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2021-11-23T15:03:01Z</dcterms:created>
  <dc:creator/>
  <dc:description/>
  <dc:language>ru-RU</dc:language>
  <cp:lastModifiedBy/>
  <cp:lastPrinted>2025-02-06T08:45:35Z</cp:lastPrinted>
  <dcterms:modified xsi:type="dcterms:W3CDTF">2025-03-07T10:18:22Z</dcterms:modified>
  <cp:revision>51</cp:revision>
  <dc:subject/>
  <dc:title/>
</cp:coreProperties>
</file>