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0" w:after="0"/>
        <w:ind w:hanging="0" w:left="4535"/>
        <w:jc w:val="both"/>
        <w:rPr>
          <w:rFonts w:ascii="PT Astra Serif" w:hAnsi="PT Astra Serif"/>
          <w:caps/>
          <w:color w:val="000000"/>
          <w:sz w:val="28"/>
          <w:szCs w:val="28"/>
          <w:lang w:val="ru-RU"/>
        </w:rPr>
      </w:pPr>
      <w:r>
        <w:rPr>
          <w:rFonts w:ascii="PT Astra Serif" w:hAnsi="PT Astra Serif"/>
          <w:caps/>
          <w:color w:val="000000"/>
          <w:sz w:val="28"/>
          <w:szCs w:val="28"/>
          <w:lang w:val="ru-RU"/>
        </w:rPr>
        <w:t xml:space="preserve">                   </w:t>
      </w:r>
      <w:r>
        <w:rPr>
          <w:rFonts w:eastAsia="Times New Roman" w:ascii="PT Astra Serif" w:hAnsi="PT Astra Serif"/>
          <w:caps/>
          <w:color w:val="000000"/>
          <w:sz w:val="28"/>
          <w:szCs w:val="28"/>
          <w:lang w:val="ru-RU" w:eastAsia="ru-RU"/>
        </w:rPr>
        <w:t xml:space="preserve">УТВЕРЖДАЮ </w:t>
      </w:r>
    </w:p>
    <w:p>
      <w:pPr>
        <w:pStyle w:val="Textbody"/>
        <w:spacing w:before="0" w:after="0"/>
        <w:ind w:hanging="0" w:left="4535"/>
        <w:jc w:val="both"/>
        <w:rPr>
          <w:rFonts w:ascii="PT Astra Serif" w:hAnsi="PT Astra Serif"/>
          <w:caps/>
          <w:color w:val="000000"/>
          <w:sz w:val="28"/>
          <w:szCs w:val="28"/>
          <w:lang w:val="ru-RU"/>
        </w:rPr>
      </w:pPr>
      <w:r>
        <w:rPr>
          <w:rFonts w:ascii="PT Astra Serif" w:hAnsi="PT Astra Serif"/>
          <w:caps/>
          <w:color w:val="000000"/>
          <w:sz w:val="28"/>
          <w:szCs w:val="28"/>
          <w:lang w:val="ru-RU"/>
        </w:rPr>
      </w:r>
    </w:p>
    <w:p>
      <w:pPr>
        <w:pStyle w:val="Textbody"/>
        <w:spacing w:before="0" w:after="0"/>
        <w:ind w:hanging="0" w:left="4535"/>
        <w:jc w:val="both"/>
        <w:rPr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Глава администрации муниципального образования «Новомалыклинский район» Ульяновской области</w:t>
      </w:r>
    </w:p>
    <w:p>
      <w:pPr>
        <w:pStyle w:val="Textbody"/>
        <w:spacing w:before="0" w:after="0"/>
        <w:ind w:hanging="0" w:left="4535"/>
        <w:jc w:val="both"/>
        <w:rPr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__________________А.Д. Пуреськина</w:t>
      </w:r>
    </w:p>
    <w:p>
      <w:pPr>
        <w:pStyle w:val="Textbody"/>
        <w:spacing w:before="0" w:after="0"/>
        <w:ind w:hanging="0" w:left="4535"/>
        <w:jc w:val="both"/>
        <w:rPr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«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15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» января 202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4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год</w:t>
      </w:r>
    </w:p>
    <w:p>
      <w:pPr>
        <w:pStyle w:val="Textbody"/>
        <w:spacing w:before="0" w:after="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</w:r>
    </w:p>
    <w:p>
      <w:pPr>
        <w:pStyle w:val="Textbody"/>
        <w:spacing w:before="0" w:after="0"/>
        <w:ind w:hanging="0" w:left="4535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>Доклад</w:t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об организации системы внутреннего обеспечения соответствия деятельности администрации муниципального образования «Новомалыклинский район» Ульяновской области требованиям антимонопольного законодательства за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Организация системы внутреннего обеспечения соответствия требованиям антимонопольного законодательства в администрации муниципального образования «Новомалыклинский район» Ульяновской области (далее администрация) реализуется во исполнение Указа Президента Российской Федерации от 21.12.2017 № 618 «Об основных направлениях государственной политики по развитию конкуренции».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Постановлением муниципального образования «Новомалыклинский район» Ульяновской области от 31.12.2019 № 715 «Об организации системы внутреннего обеспечения соответствия требованием антимонопольного законодательства в администрации муниципального образования «Новомалыклинский район» утверждено 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«Новомалыклинский район» (далее Положение об антимонопольном комплаенсе).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Положением об антимонопольном комплаенсе функции уполномоченного подразделения, связанные с организацией и функционированием антимонопольного комплаенса, распределены между структурными подразделениями администрации в соответствии с их компетенцией: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- управлением экономического и стратегического планирования администрации муниципального образования «Новомалыклинский район»;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- отдел правового обеспечения, муниципальной службы, кадров и архивного дела администрации муниципального образования «Новомалыклинский район».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В целях выявления и исключения рисков нарушения антимонопольного законодательства, обеспечения открытости и доступа к информации об организации и функционировании антимонопольного комплаенса в администрации на официальном сайте администрации в информационно-</w:t>
        <w:softHyphen/>
        <w:t>телекоммуникационной сети Интернет (по адресу: http://https://nmalykla-73.gosuslugi.ru/deyatelnost/napravleniya-deyatelnosti/ekonomika/antimonopolnyy-komplaens/) (далее на официальном сайте) создан раздел «Антимонопольный комплаенс», в котором размещен  исчерпывающий перечень действующих правовых актов администрации с приложением соответствующих правовых актов, реализация которых связана с соблюдением требований антимонопольного законодательства.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Для проведения анализа проектов правовых актов администрации на предмет их соответствия антимонопольному законодательству, администрацией проекты правовых актов размещаются на официальном сайте администрации в информационно-телекоммуникационной сети «Интернет» в разделе «Проекты муниципальных правовых актов». В данной вкладке указано, что замечания и предложения принимаются в течение десяти дней с момента размещения. Замечания и предложения организаций и граждан в рамках анализа действующих нормативных правовых актов администрации по Перечню актов на предмет их влияния на конкуренцию и нарушений антимонопольного законодательства за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 в адрес администрации не поступали.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По итогам проведенного анализа правовых актов (проектов правовых актов) администрацией сделан вывод об их соответствии антимонопольному законодательству, о нецелесообразности внесения изменений в действующие правовые акты администрации.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Во исполнение раздела  IV Положения об антимонопольном комплаенсе проведен анализ информации о наличии нарушений антимонопольного законодательства в деятельности администрации за период 20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20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- 202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годов, предоставленной структурными подразделениями.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По результатам анализа правоприменительной практики администрации по делам УФАС по Ульяновской области получены следующие результаты: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Анализ информации о наличии нарушений антимонопольного законодательства в сфере закупок товаров, работ, услуг для обеспечения муниципальных нужд показал следующее: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В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году в Управление Федеральной антимонопольной службы по Ульяновской области на действия (бездействия) муниципальных заказчиков, расположенных на территории Новомалыклинского района, членов комиссий, уполномоченного органа подано 0 жалоб.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Правовые акты администрации, в которых УФАС по Ульяновской области выявлены нарушения антимонопольного законодательства в указанный период, в администрации отсутствуют.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В целях выявления рисков нарушения антимонопольного законодательства администрацией осуществлен ряд мероприятий, предусмотренных Положением об антимонопольном комплаенсе, а именно: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- запрошены предложения от структурных подразделений администрации о наиболее вероятных нарушениях антимонопольного законодательства со стороны структурных подразделений администрации;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- проведена оценка поступивших предложений структурных подразделений администрации с учетом ряда показателей (отрицательное влияние на отношение институтов гражданского общества к деятельности администрации по развитию конкуренции, выдача предупреждения/предписания о прекращении действий (бездействия), которые содержат признаки нарушения антимонопольного законодательства,  возбуждение дела о нарушении антимонопольного законодательства, привлечение к административной ответственности на должностных лиц администрации).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 xml:space="preserve">Согласно разделу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V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 xml:space="preserve"> Положения об антимонопольном комплаенсе администрацией по результатам проведения оценки рисков нарушения антимонопольного законодательства и с учетом поступивших предложений структурных подразделений администрации составлена Карта рисков нарушения антимонопольного законодательства в администрации на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 xml:space="preserve"> год (далее - Карта рисков). Карта рисков утверждена и размещена на официальном сайте администрации.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>На основе Карты рисков разработан План мероприятий («дорожная карта») по снижению рисков нарушения антимонопольного законодательства в администрации на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 xml:space="preserve"> год (далее - План ме</w:t>
        <w:softHyphen/>
        <w:t xml:space="preserve">роприятий) (раздел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VI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 xml:space="preserve"> Положения об антимонопольном комплаенсе). План мероприятий утвержден и размещен на официальном сайте администрации.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Администрацией на постоянной основе проводятся мероприятия по минимизации и</w:t>
        <w:tab/>
        <w:t>устранению рисков нарушения антимонопольного законодательства, в частности осуществлено внесение соответствующих изменений в положения о структурных подразделениях администрации и должностные инструкции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законодательства, проведен анализ действующих правовых актов администрации на предмет соответствия их антимонопольному законодательству, анализ практики применения антимонопольного законодательства, анализ выявленных нарушений антимонопольного законодательства. Все муниципальные служащие администрации и ее структурных подразделений с правами юридического лица ознакомлены с Положением об организации в администрации системы внутреннего обеспечения соответствия требованиям антимонопольного законодательства (антимонопольного комплаенса).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Во исполнение раздела VII Положения утверждены ключевые показатели эффективности функционирования в администрации антимонопольного комплаенса.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Ключевыми показателями эффективности (далее - КПЭ) антимонопольного комплаенса для администрации в целом являются: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коэффициент снижения количества нарушений антимонопольного законодательства со стороны администрации (по сравнению с 201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годом);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доля сотрудников органа местного самоуправления, в отношении которых были проведены обучающие мероприятия по антимонопольному законодательству и антимонопольному комплаенсу;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Коэффициент снижения количества нарушений антимонопольного законодательства со стороны администрации (по сравнению с 201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годом) рассчитывается по формуле: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КСН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КН</m:t>
            </m:r>
            <m:r>
              <w:rPr>
                <w:rFonts w:ascii="Cambria Math" w:hAnsi="Cambria Math"/>
              </w:rPr>
              <m:t xml:space="preserve">2018</m:t>
            </m:r>
          </m:num>
          <m:den>
            <m:r>
              <w:rPr>
                <w:rFonts w:ascii="Cambria Math" w:hAnsi="Cambria Math"/>
              </w:rPr>
              <m:t xml:space="preserve">КНоп</m:t>
            </m:r>
          </m:den>
        </m:f>
      </m:oMath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, где: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>КСН - коэффициент снижения количества нарушений антимонопольного законодательства со стороны администрации по сравнению с 201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годом;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>КН201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— количество нарушений антимонопольного законодательства со стороны администрации в 201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году;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 xml:space="preserve">КНоп — количество нарушений антимонопольного законодательства со стороны администрации в отчетном периоде.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Данный показатель администрацией выполнен, снижение количества нарушений антимонопольного законодательства со стороны администрации (по сравнению с 201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годом) более чем в 2 раза.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Доля сотрудников администрации, с которыми были проведены обучающие мероприятия по антимонопольному законодательству и антимонопольному комплаенсу, рассчитывается по формуле: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ДСо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КСо</m:t>
            </m:r>
          </m:num>
          <m:den>
            <m:r>
              <w:rPr>
                <w:rFonts w:ascii="Cambria Math" w:hAnsi="Cambria Math"/>
              </w:rPr>
              <m:t xml:space="preserve">КСобщ</m:t>
            </m:r>
          </m:den>
        </m:f>
      </m:oMath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>, где: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>ДСо - доля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>КСо — количество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 xml:space="preserve">КСобщ — общее количество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законодательства.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Данный показатель администрацией также выполнен. В </w:t>
      </w:r>
      <w:r>
        <w:rPr>
          <w:rFonts w:eastAsia="Calibri" w:cs="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en-US" w:bidi="ar-SA"/>
        </w:rPr>
        <w:t>марте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года три сотрудника участвовали в   обучающем мероприятии по антимонопольному законодательству и антимонопольному комплаенсу, проводимом управлением экономики МО «Новомалыклинский район» совместно с отделом правового обеспечения. Доля сотрудников администрации, с которыми были проведены обучающие мероприятия по антимонопольному законодательству и антимонопольному комплаенсу в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году составляет 25% (3/12=25%).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Глава администрации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муниципального образования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«Новомалыклинский район»                                         А.Д. Пуреськина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qFormat/>
    <w:rsid w:val="00ce09cf"/>
    <w:rPr>
      <w:rFonts w:ascii="Times New Roman" w:hAnsi="Times New Roman" w:eastAsia="Times New Roman" w:cs="Times New Roman"/>
      <w:shd w:fill="FFFFFF" w:val="clear"/>
    </w:rPr>
  </w:style>
  <w:style w:type="character" w:styleId="295pt" w:customStyle="1">
    <w:name w:val="Основной текст (2) + 9;5 pt"/>
    <w:basedOn w:val="2"/>
    <w:qFormat/>
    <w:rsid w:val="00e36f4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shd w:fill="FFFFFF" w:val="clear"/>
      <w:lang w:val="ru-RU" w:eastAsia="ru-RU" w:bidi="ru-RU"/>
    </w:rPr>
  </w:style>
  <w:style w:type="character" w:styleId="Style14" w:customStyle="1">
    <w:name w:val="Основной текст Знак"/>
    <w:basedOn w:val="DefaultParagraphFont"/>
    <w:qFormat/>
    <w:rsid w:val="00ff2e3b"/>
    <w:rPr>
      <w:rFonts w:ascii="Times New Roman" w:hAnsi="Times New Roman" w:eastAsia="Lucida Sans Unicode" w:cs="Mangal"/>
      <w:sz w:val="24"/>
      <w:szCs w:val="24"/>
      <w:lang w:eastAsia="zh-CN" w:bidi="hi-IN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ff2e3b"/>
    <w:rPr>
      <w:rFonts w:ascii="Tahoma" w:hAnsi="Tahoma" w:cs="Tahoma"/>
      <w:sz w:val="16"/>
      <w:szCs w:val="16"/>
    </w:rPr>
  </w:style>
  <w:style w:type="character" w:styleId="Hyperlink" w:customStyle="1">
    <w:name w:val="Hyperlink"/>
    <w:basedOn w:val="DefaultParagraphFont"/>
    <w:uiPriority w:val="99"/>
    <w:semiHidden/>
    <w:unhideWhenUsed/>
    <w:rsid w:val="00692164"/>
    <w:rPr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ff2e3b"/>
    <w:pPr>
      <w:widowControl w:val="false"/>
      <w:spacing w:before="0" w:after="120"/>
    </w:pPr>
    <w:rPr>
      <w:rFonts w:ascii="Times New Roman" w:hAnsi="Times New Roman" w:eastAsia="Lucida Sans Unicode" w:cs="Mangal"/>
      <w:sz w:val="24"/>
      <w:szCs w:val="24"/>
      <w:lang w:eastAsia="zh-CN" w:bidi="hi-IN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Textbody" w:customStyle="1">
    <w:name w:val="Text body"/>
    <w:basedOn w:val="Normal"/>
    <w:qFormat/>
    <w:rsid w:val="00ce09cf"/>
    <w:pPr>
      <w:widowControl w:val="false"/>
      <w:spacing w:lineRule="auto" w:line="240" w:before="0" w:after="12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21" w:customStyle="1">
    <w:name w:val="Основной текст (2)"/>
    <w:basedOn w:val="Normal"/>
    <w:link w:val="2"/>
    <w:qFormat/>
    <w:rsid w:val="00ce09cf"/>
    <w:pPr>
      <w:widowControl w:val="false"/>
      <w:shd w:val="clear" w:color="auto" w:fill="FFFFFF"/>
      <w:spacing w:lineRule="exact" w:line="269" w:before="0" w:after="240"/>
    </w:pPr>
    <w:rPr>
      <w:rFonts w:ascii="Times New Roman" w:hAnsi="Times New Roman" w:eastAsia="Times New Roman" w:cs="Times New Roman"/>
    </w:rPr>
  </w:style>
  <w:style w:type="paragraph" w:styleId="NoSpacing">
    <w:name w:val="No Spacing"/>
    <w:qFormat/>
    <w:rsid w:val="00554dc9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Lucida Sans Unicode" w:cs="Mangal"/>
      <w:color w:val="auto"/>
      <w:kern w:val="0"/>
      <w:sz w:val="24"/>
      <w:szCs w:val="28"/>
      <w:lang w:val="ru-RU" w:eastAsia="en-US" w:bidi="hi-IN"/>
    </w:rPr>
  </w:style>
  <w:style w:type="paragraph" w:styleId="BalloonText">
    <w:name w:val="Balloon Text"/>
    <w:basedOn w:val="Normal"/>
    <w:uiPriority w:val="99"/>
    <w:semiHidden/>
    <w:unhideWhenUsed/>
    <w:qFormat/>
    <w:rsid w:val="00ff2e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mpact" w:customStyle="1">
    <w:name w:val="Compact"/>
    <w:basedOn w:val="BodyText"/>
    <w:qFormat/>
    <w:rsid w:val="00ff2e3b"/>
    <w:pPr>
      <w:widowControl/>
      <w:suppressAutoHyphens w:val="false"/>
      <w:spacing w:lineRule="auto" w:line="240" w:before="36" w:after="36"/>
    </w:pPr>
    <w:rPr>
      <w:rFonts w:ascii="Calibri" w:hAnsi="Calibri" w:eastAsia="Calibri" w:cs="" w:asciiTheme="minorHAnsi" w:cstheme="minorBidi" w:eastAsiaTheme="minorHAnsi" w:hAnsiTheme="minorHAnsi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Application>LibreOffice/7.6.2.1$Windows_X86_64 LibreOffice_project/56f7684011345957bbf33a7ee678afaf4d2ba333</Application>
  <AppVersion>15.0000</AppVersion>
  <Pages>5</Pages>
  <Words>994</Words>
  <Characters>8490</Characters>
  <CharactersWithSpaces>9526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2020-02-11T09:24:00Z</dcterms:created>
  <dc:creator>admin</dc:creator>
  <dc:description/>
  <dc:language>ru-RU</dc:language>
  <cp:lastModifiedBy/>
  <cp:lastPrinted>2020-02-12T07:40:00Z</cp:lastPrinted>
  <dcterms:modified xsi:type="dcterms:W3CDTF">2024-01-18T09:59:35Z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