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ind w:left="0" w:right="0" w:firstLine="709"/>
        <w:jc w:val="both"/>
        <w:rPr>
          <w:strike w:val="false"/>
          <w:dstrike w:val="false"/>
          <w:sz w:val="28"/>
          <w:szCs w:val="28"/>
          <w:u w:val="none"/>
          <w:effect w:val="none"/>
        </w:rPr>
      </w:pPr>
      <w:r>
        <w:rPr>
          <w:strike w:val="false"/>
          <w:dstrike w:val="false"/>
          <w:sz w:val="28"/>
          <w:szCs w:val="28"/>
          <w:u w:val="none"/>
          <w:effect w:val="none"/>
        </w:rPr>
        <w:t xml:space="preserve">                                              </w:t>
      </w:r>
    </w:p>
    <w:p>
      <w:pPr>
        <w:pStyle w:val="ListParagraph"/>
        <w:ind w:left="0" w:right="0" w:firstLine="709"/>
        <w:jc w:val="both"/>
        <w:rPr/>
      </w:pPr>
      <w:r>
        <w:rPr>
          <w:strike w:val="false"/>
          <w:dstrike w:val="false"/>
          <w:sz w:val="28"/>
          <w:szCs w:val="28"/>
          <w:u w:val="none"/>
          <w:effect w:val="none"/>
        </w:rPr>
        <w:t xml:space="preserve">                                               </w:t>
      </w:r>
      <w:r>
        <w:rPr>
          <w:rFonts w:cs="PT Astra Serif" w:ascii="PT Astra Serif" w:hAnsi="PT Astra Serif"/>
          <w:strike w:val="false"/>
          <w:dstrike w:val="false"/>
          <w:sz w:val="28"/>
          <w:szCs w:val="28"/>
          <w:u w:val="none"/>
          <w:effect w:val="none"/>
          <w:lang w:val="ru-RU"/>
        </w:rPr>
        <w:t>ЗАКЛЮЧЕНИЕ</w:t>
      </w:r>
    </w:p>
    <w:p>
      <w:pPr>
        <w:pStyle w:val="Normal"/>
        <w:jc w:val="center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cs="PT Astra Serif" w:ascii="PT Astra Serif" w:hAnsi="PT Astra Serif"/>
          <w:sz w:val="28"/>
          <w:szCs w:val="28"/>
          <w:lang w:val="ru-RU"/>
        </w:rPr>
        <w:t>о результатах  публичных слушаний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 w:val="28"/>
          <w:szCs w:val="28"/>
          <w:lang w:val="ru-RU"/>
        </w:rPr>
        <w:t xml:space="preserve">   </w:t>
      </w:r>
      <w:r>
        <w:rPr>
          <w:rFonts w:cs="PT Astra Serif" w:ascii="PT Astra Serif" w:hAnsi="PT Astra Serif"/>
          <w:color w:val="000000"/>
          <w:sz w:val="28"/>
          <w:szCs w:val="28"/>
          <w:u w:val="single"/>
          <w:lang w:val="ru-RU"/>
        </w:rPr>
        <w:t>«16»  июля  2024 г.</w:t>
      </w:r>
      <w:r>
        <w:rPr>
          <w:rFonts w:cs="PT Astra Serif" w:ascii="PT Astra Serif" w:hAnsi="PT Astra Serif"/>
          <w:sz w:val="28"/>
          <w:szCs w:val="28"/>
          <w:lang w:val="ru-RU"/>
        </w:rPr>
        <w:tab/>
        <w:tab/>
        <w:tab/>
        <w:tab/>
        <w:tab/>
        <w:tab/>
        <w:tab/>
        <w:tab/>
      </w:r>
    </w:p>
    <w:p>
      <w:pPr>
        <w:pStyle w:val="ConsPlusNonforma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 </w:t>
      </w:r>
    </w:p>
    <w:p>
      <w:pPr>
        <w:pStyle w:val="ConsPlusNonformat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Наименование проекта, вынесенного на публичные слушания:</w:t>
      </w:r>
      <w:r>
        <w:rPr>
          <w:rFonts w:eastAsia="PT Astra Serif" w:cs="PT Astra Serif" w:ascii="PT Astra Serif" w:hAnsi="PT Astra Serif"/>
          <w:sz w:val="28"/>
          <w:szCs w:val="28"/>
          <w:u w:val="single"/>
          <w:lang w:val="ru-RU" w:eastAsia="ru-RU"/>
        </w:rPr>
        <w:t xml:space="preserve"> Внесение изменений в Правила землепользования и застройки муниципального образования «Новомалыклинское сельское поселение»  Новомалыклинского района Ульяновской области </w:t>
      </w:r>
      <w:r>
        <w:rPr>
          <w:rStyle w:val="Style11"/>
          <w:rFonts w:eastAsia="Times New Roman" w:cs="Times New Roman" w:ascii="PT Astra Serif" w:hAnsi="PT Astra Serif"/>
          <w:b w:val="false"/>
          <w:bCs w:val="false"/>
          <w:iCs/>
          <w:color w:val="000000"/>
          <w:sz w:val="28"/>
          <w:szCs w:val="28"/>
          <w:u w:val="single"/>
          <w:lang w:val="ru-RU" w:eastAsia="ru-RU"/>
        </w:rPr>
        <w:t xml:space="preserve">в части дополнения перечня основного вида разрешенного  использования земельного участка территориальной зоны Ж1 (зона застройки индивидуальными жилыми домами) видом разрешенного использования  (оказание услуг связи).                                                                       </w:t>
      </w:r>
    </w:p>
    <w:p>
      <w:pPr>
        <w:pStyle w:val="ConsPlusNonformat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      </w:t>
      </w:r>
      <w:r>
        <w:rPr>
          <w:rFonts w:cs="PT Astra Serif" w:ascii="PT Astra Serif" w:hAnsi="PT Astra Serif"/>
          <w:sz w:val="28"/>
          <w:szCs w:val="28"/>
        </w:rPr>
        <w:t>В публичных слушаниях приняли участие</w:t>
      </w:r>
      <w:r>
        <w:rPr>
          <w:rFonts w:cs="PT Astra Serif" w:ascii="PT Astra Serif" w:hAnsi="PT Astra Serif"/>
          <w:sz w:val="28"/>
          <w:szCs w:val="28"/>
          <w:u w:val="single"/>
        </w:rPr>
        <w:t xml:space="preserve"> 5 (пять) участников   .                 </w:t>
      </w:r>
      <w:r>
        <w:rPr>
          <w:rFonts w:cs="PT Astra Serif" w:ascii="PT Astra Serif" w:hAnsi="PT Astra Serif"/>
        </w:rPr>
        <w:t xml:space="preserve">                                                                                                                                                </w:t>
      </w:r>
      <w:r>
        <w:rPr>
          <w:rFonts w:cs="PT Astra Serif" w:ascii="PT Astra Serif" w:hAnsi="PT Astra Serif"/>
          <w:sz w:val="28"/>
          <w:szCs w:val="28"/>
        </w:rPr>
        <w:t xml:space="preserve">Заключение о результатах публичных слушаний подготовлено  на  основании  </w:t>
        <w:br/>
        <w:t>протокола  «</w:t>
      </w:r>
      <w:r>
        <w:rPr>
          <w:rFonts w:cs="PT Astra Serif" w:ascii="PT Astra Serif" w:hAnsi="PT Astra Serif"/>
          <w:sz w:val="28"/>
          <w:szCs w:val="28"/>
          <w:u w:val="single"/>
        </w:rPr>
        <w:t>12</w:t>
      </w:r>
      <w:r>
        <w:rPr>
          <w:rFonts w:cs="PT Astra Serif" w:ascii="PT Astra Serif" w:hAnsi="PT Astra Serif"/>
          <w:sz w:val="28"/>
          <w:szCs w:val="28"/>
        </w:rPr>
        <w:t xml:space="preserve">» </w:t>
      </w:r>
      <w:r>
        <w:rPr>
          <w:rFonts w:cs="PT Astra Serif" w:ascii="PT Astra Serif" w:hAnsi="PT Astra Serif"/>
          <w:sz w:val="28"/>
          <w:szCs w:val="28"/>
          <w:u w:val="single"/>
        </w:rPr>
        <w:t>июля</w:t>
      </w:r>
      <w:r>
        <w:rPr>
          <w:rFonts w:cs="PT Astra Serif" w:ascii="PT Astra Serif" w:hAnsi="PT Astra Serif"/>
          <w:sz w:val="28"/>
          <w:szCs w:val="28"/>
        </w:rPr>
        <w:t xml:space="preserve"> 20</w:t>
      </w:r>
      <w:r>
        <w:rPr>
          <w:rFonts w:cs="PT Astra Serif" w:ascii="PT Astra Serif" w:hAnsi="PT Astra Serif"/>
          <w:sz w:val="28"/>
          <w:szCs w:val="28"/>
          <w:u w:val="single"/>
        </w:rPr>
        <w:t xml:space="preserve"> 24 </w:t>
      </w:r>
      <w:r>
        <w:rPr>
          <w:rFonts w:cs="PT Astra Serif" w:ascii="PT Astra Serif" w:hAnsi="PT Astra Serif"/>
          <w:sz w:val="28"/>
          <w:szCs w:val="28"/>
        </w:rPr>
        <w:t>г.,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 </w:t>
      </w:r>
    </w:p>
    <w:p>
      <w:pPr>
        <w:pStyle w:val="ConsPlusNonformat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В ходе проведения  публичных слушаний участниками были внесены следующие замечания и предложения:   </w:t>
      </w:r>
    </w:p>
    <w:tbl>
      <w:tblPr>
        <w:tblW w:w="9543" w:type="dxa"/>
        <w:jc w:val="left"/>
        <w:tblInd w:w="-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</w:tblPr>
      <w:tblGrid>
        <w:gridCol w:w="682"/>
        <w:gridCol w:w="5556"/>
        <w:gridCol w:w="3305"/>
      </w:tblGrid>
      <w:tr>
        <w:trPr/>
        <w:tc>
          <w:tcPr>
            <w:tcW w:w="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ind w:left="-149" w:right="-119" w:hanging="0"/>
              <w:jc w:val="center"/>
              <w:rPr/>
            </w:pPr>
            <w:r>
              <w:rPr>
                <w:rFonts w:eastAsia="Century"/>
                <w:bCs/>
                <w:sz w:val="22"/>
                <w:szCs w:val="22"/>
              </w:rPr>
              <w:t xml:space="preserve">№ </w:t>
            </w:r>
            <w:r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5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ind w:left="-37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Содержание предложения/замечания</w:t>
            </w:r>
          </w:p>
        </w:tc>
        <w:tc>
          <w:tcPr>
            <w:tcW w:w="3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Аргументированные выводы о целесообразности (нецелесообразности) учёта внесённых участниками предложений и замечаний</w:t>
            </w:r>
          </w:p>
        </w:tc>
      </w:tr>
      <w:tr>
        <w:trPr/>
        <w:tc>
          <w:tcPr>
            <w:tcW w:w="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/>
              <w:t>12.</w:t>
            </w:r>
          </w:p>
        </w:tc>
        <w:tc>
          <w:tcPr>
            <w:tcW w:w="5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rFonts w:cs="PT Astra Serif" w:ascii="Times New Roman" w:hAnsi="Times New Roman"/>
                <w:b w:val="false"/>
                <w:bCs w:val="false"/>
                <w:sz w:val="22"/>
                <w:szCs w:val="22"/>
              </w:rPr>
              <w:t xml:space="preserve">Предложение поступило: Гильфанова Рината Касымовича </w:t>
            </w:r>
          </w:p>
          <w:p>
            <w:pPr>
              <w:pStyle w:val="Normal"/>
              <w:snapToGrid w:val="false"/>
              <w:jc w:val="left"/>
              <w:rPr>
                <w:rFonts w:ascii="Times New Roman" w:hAnsi="Times New Roman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PT Astra Serif" w:ascii="Times New Roman" w:hAnsi="Times New Roman"/>
                <w:b w:val="false"/>
                <w:bCs w:val="false"/>
                <w:sz w:val="22"/>
                <w:szCs w:val="22"/>
              </w:rPr>
              <w:t>с.Эчкаюн,ул.Молодежная, д.25, кв.2</w:t>
            </w:r>
          </w:p>
          <w:p>
            <w:pPr>
              <w:pStyle w:val="Normal"/>
              <w:snapToGrid w:val="false"/>
              <w:ind w:left="0" w:right="-38" w:hanging="0"/>
              <w:jc w:val="left"/>
              <w:rPr/>
            </w:pPr>
            <w:r>
              <w:rPr>
                <w:rFonts w:eastAsia="Calibri" w:cs="PT Astra Serif" w:ascii="PT Astra Serif" w:hAnsi="PT Astra Serif"/>
                <w:b w:val="false"/>
                <w:bCs w:val="false"/>
                <w:sz w:val="22"/>
                <w:szCs w:val="22"/>
                <w:lang w:eastAsia="ru-RU"/>
              </w:rPr>
              <w:t>Внести в  Ж1 (з</w:t>
            </w:r>
            <w:r>
              <w:rPr>
                <w:rFonts w:eastAsia="Calibri" w:cs="PT Astra Serif;Times New Roman" w:ascii="Times New Roman" w:hAnsi="Times New Roman"/>
                <w:b w:val="false"/>
                <w:bCs w:val="false"/>
                <w:color w:val="00000A"/>
                <w:sz w:val="22"/>
                <w:szCs w:val="22"/>
                <w:lang w:eastAsia="ru-RU"/>
              </w:rPr>
              <w:t xml:space="preserve">она застройки индивидуальными жилыми домами) </w:t>
            </w:r>
            <w:r>
              <w:rPr>
                <w:rFonts w:eastAsia="Calibri" w:cs="PT Astra Serif" w:ascii="PT Astra Serif" w:hAnsi="PT Astra Serif"/>
                <w:b w:val="false"/>
                <w:bCs w:val="false"/>
                <w:sz w:val="22"/>
                <w:szCs w:val="22"/>
                <w:lang w:eastAsia="ru-RU"/>
              </w:rPr>
              <w:t xml:space="preserve"> п.3.2.3.  оказание услуг связи.</w:t>
            </w:r>
          </w:p>
        </w:tc>
        <w:tc>
          <w:tcPr>
            <w:tcW w:w="3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  целесообразно</w:t>
            </w:r>
          </w:p>
        </w:tc>
      </w:tr>
    </w:tbl>
    <w:p>
      <w:pPr>
        <w:pStyle w:val="ConsPlusNonformat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В ходе проведения публичных слушаний иными участниками были внесены следующие замечания и предложения:  </w:t>
      </w:r>
    </w:p>
    <w:tbl>
      <w:tblPr>
        <w:tblW w:w="9525" w:type="dxa"/>
        <w:jc w:val="left"/>
        <w:tblInd w:w="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</w:tblPr>
      <w:tblGrid>
        <w:gridCol w:w="675"/>
        <w:gridCol w:w="3688"/>
        <w:gridCol w:w="5162"/>
      </w:tblGrid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ind w:left="-149" w:right="-119" w:hanging="0"/>
              <w:jc w:val="center"/>
              <w:rPr/>
            </w:pPr>
            <w:r>
              <w:rPr>
                <w:rFonts w:eastAsia="Century"/>
                <w:bCs/>
              </w:rPr>
              <w:t xml:space="preserve">№ </w:t>
            </w:r>
            <w:r>
              <w:rPr>
                <w:bCs/>
              </w:rPr>
              <w:t>п/п</w:t>
            </w:r>
          </w:p>
        </w:tc>
        <w:tc>
          <w:tcPr>
            <w:tcW w:w="3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ind w:left="-37" w:right="0" w:hanging="0"/>
              <w:jc w:val="center"/>
              <w:rPr>
                <w:bCs/>
              </w:rPr>
            </w:pPr>
            <w:r>
              <w:rPr>
                <w:bCs/>
              </w:rPr>
              <w:t>Содержание предложения/замечания</w:t>
            </w:r>
          </w:p>
        </w:tc>
        <w:tc>
          <w:tcPr>
            <w:tcW w:w="5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Аргументированные выводы о целесообразности (нецелесообразности) учёта внесённых участниками предложений и замечаний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rPr/>
            </w:pPr>
            <w:r>
              <w:rPr/>
              <w:t>-</w:t>
            </w:r>
          </w:p>
        </w:tc>
      </w:tr>
    </w:tbl>
    <w:p>
      <w:pPr>
        <w:pStyle w:val="ConsPlusNonformat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cs="PT Astra Serif" w:ascii="Times New Roman" w:hAnsi="Times New Roman"/>
          <w:sz w:val="28"/>
          <w:szCs w:val="28"/>
        </w:rPr>
      </w:r>
    </w:p>
    <w:p>
      <w:pPr>
        <w:pStyle w:val="ConsPlusNonformat"/>
        <w:jc w:val="both"/>
        <w:rPr/>
      </w:pPr>
      <w:r>
        <w:rPr>
          <w:rFonts w:cs="PT Astra Serif" w:ascii="Times New Roman" w:hAnsi="Times New Roman"/>
          <w:sz w:val="28"/>
          <w:szCs w:val="28"/>
        </w:rPr>
        <w:t xml:space="preserve">Рекомендации организатора публичных слушаний: </w:t>
      </w:r>
      <w:r>
        <w:rPr>
          <w:rFonts w:cs="PT Astra Serif" w:ascii="Times New Roman" w:hAnsi="Times New Roman"/>
          <w:bCs/>
          <w:sz w:val="28"/>
          <w:szCs w:val="28"/>
          <w:u w:val="single"/>
          <w:lang w:eastAsia="ru-RU"/>
        </w:rPr>
        <w:t xml:space="preserve">Рекомендовать утвердить </w:t>
      </w:r>
      <w:r>
        <w:rPr>
          <w:rFonts w:cs="PT Astra Serif" w:ascii="Times New Roman" w:hAnsi="Times New Roman"/>
          <w:sz w:val="28"/>
          <w:szCs w:val="28"/>
          <w:u w:val="single"/>
        </w:rPr>
        <w:t>с учётом предложений и замечаний проект</w:t>
      </w:r>
      <w:r>
        <w:rPr>
          <w:rFonts w:eastAsia="PT Astra Serif" w:cs="PT Astra Serif" w:ascii="PT Astra Serif" w:hAnsi="PT Astra Serif"/>
          <w:sz w:val="28"/>
          <w:szCs w:val="28"/>
          <w:u w:val="single"/>
          <w:lang w:val="ru-RU" w:eastAsia="ru-RU"/>
        </w:rPr>
        <w:t xml:space="preserve"> внесения изменений в Правила землепользования и застройки муниципального образования «Новомалыклинское сельское поселение» Новомалыклинского района Ульяновской области </w:t>
      </w:r>
      <w:r>
        <w:rPr>
          <w:rStyle w:val="Style11"/>
          <w:rFonts w:eastAsia="Times New Roman" w:cs="Times New Roman" w:ascii="PT Astra Serif" w:hAnsi="PT Astra Serif"/>
          <w:b w:val="false"/>
          <w:bCs w:val="false"/>
          <w:iCs/>
          <w:color w:val="000000"/>
          <w:sz w:val="28"/>
          <w:szCs w:val="28"/>
          <w:u w:val="single"/>
          <w:lang w:val="ru-RU" w:eastAsia="ru-RU"/>
        </w:rPr>
        <w:t xml:space="preserve">в части дополнения перечня основного вида  разрешенного использования земельного участка территориальной зоны Ж1 (зона застройки индивидуальными жилыми домами) видом разрешенного использования  (оказание услуг связи)                                                                      .                                                                                                                                                                                                   </w:t>
      </w:r>
      <w:r>
        <w:rPr>
          <w:rFonts w:cs="PT Astra Serif" w:ascii="Times New Roman" w:hAnsi="Times New Roman"/>
          <w:sz w:val="28"/>
          <w:szCs w:val="28"/>
          <w:u w:val="single"/>
        </w:rPr>
        <w:t xml:space="preserve">                                                                        </w:t>
      </w:r>
      <w:r>
        <w:rPr>
          <w:rStyle w:val="Style13"/>
          <w:rFonts w:eastAsia="PT Astra Serif" w:cs="PT Astra Serif" w:ascii="PT Astra Serif" w:hAnsi="PT Astra Serif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u w:val="single"/>
          <w:lang w:val="ru-RU" w:eastAsia="ru-RU"/>
        </w:rPr>
        <w:t xml:space="preserve">                                                                         </w:t>
      </w:r>
      <w:r>
        <w:rPr>
          <w:rStyle w:val="Style13"/>
          <w:rFonts w:eastAsia="PT Astra Serif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u w:val="single"/>
          <w:lang w:val="ru-RU" w:eastAsia="ru-RU"/>
        </w:rPr>
        <w:t xml:space="preserve">                                              </w:t>
      </w:r>
      <w:r>
        <w:rPr>
          <w:rStyle w:val="Style13"/>
          <w:rFonts w:eastAsia="PT Astra Serif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  <w:lang w:val="ru-RU" w:eastAsia="ru-RU"/>
        </w:rPr>
        <w:t xml:space="preserve">            </w:t>
      </w:r>
      <w:r>
        <w:rPr>
          <w:rStyle w:val="Style13"/>
          <w:rFonts w:eastAsia="PT Astra Serif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u w:val="single"/>
          <w:lang w:val="ru-RU" w:eastAsia="ru-RU"/>
        </w:rPr>
        <w:t xml:space="preserve">                                           </w:t>
      </w:r>
      <w:r>
        <w:rPr>
          <w:rStyle w:val="Style13"/>
          <w:rFonts w:eastAsia="PT Astra Serif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  <w:lang w:val="ru-RU" w:eastAsia="ru-RU"/>
        </w:rPr>
        <w:t xml:space="preserve">             </w:t>
      </w:r>
      <w:r>
        <w:rPr>
          <w:rStyle w:val="Style13"/>
          <w:rFonts w:eastAsia="PT Astra Serif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u w:val="single"/>
          <w:lang w:val="ru-RU" w:eastAsia="ru-RU"/>
        </w:rPr>
        <w:t xml:space="preserve">                                     </w:t>
      </w:r>
      <w:r>
        <w:rPr>
          <w:rStyle w:val="Style13"/>
          <w:rFonts w:eastAsia="PT Astra Serif" w:cs="PT Astra Serif" w:ascii="PT Astra Serif" w:hAnsi="PT Astra Serif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u w:val="single"/>
          <w:lang w:val="ru-RU" w:eastAsia="ru-RU"/>
        </w:rPr>
        <w:t xml:space="preserve">                                                                    </w:t>
      </w:r>
      <w:r>
        <w:rPr>
          <w:rStyle w:val="Style13"/>
          <w:rFonts w:eastAsia="Times New Roman CYR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u w:val="single"/>
          <w:lang w:val="ru-RU" w:eastAsia="ru-RU"/>
        </w:rPr>
        <w:t xml:space="preserve">                                                                                            </w:t>
      </w:r>
      <w:r>
        <w:rPr>
          <w:rFonts w:cs="PT Astra Serif" w:ascii="Times New Roman" w:hAnsi="Times New Roman"/>
          <w:sz w:val="28"/>
          <w:szCs w:val="28"/>
        </w:rPr>
        <w:t xml:space="preserve">  </w:t>
      </w:r>
    </w:p>
    <w:p>
      <w:pPr>
        <w:pStyle w:val="ConsPlusNonformat"/>
        <w:jc w:val="center"/>
        <w:rPr>
          <w:rFonts w:ascii="Times New Roman" w:hAnsi="Times New Roman" w:cs="PT Astra Serif"/>
        </w:rPr>
      </w:pPr>
      <w:r>
        <w:rPr>
          <w:rFonts w:cs="PT Astra Serif" w:ascii="Times New Roman" w:hAnsi="Times New Roman"/>
        </w:rPr>
        <w:t>(направление проекта на дальнейшее согласование и утверждение либо на направление проекта на доработку)</w:t>
      </w:r>
    </w:p>
    <w:p>
      <w:pPr>
        <w:pStyle w:val="ConsPlusNonformat"/>
        <w:jc w:val="center"/>
        <w:rPr>
          <w:rFonts w:ascii="Times New Roman" w:hAnsi="Times New Roman" w:cs="PT Astra Serif"/>
        </w:rPr>
      </w:pPr>
      <w:r>
        <w:rPr>
          <w:rFonts w:cs="PT Astra Serif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PT Astra Serif"/>
        </w:rPr>
      </w:pPr>
      <w:r>
        <w:rPr>
          <w:rFonts w:cs="PT Astra Serif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PT Astra Serif"/>
        </w:rPr>
      </w:pPr>
      <w:r>
        <w:rPr>
          <w:rFonts w:cs="PT Astra Serif" w:ascii="Times New Roman" w:hAnsi="Times New Roman"/>
        </w:rPr>
      </w:r>
    </w:p>
    <w:p>
      <w:pPr>
        <w:pStyle w:val="Normal"/>
        <w:rPr/>
      </w:pPr>
      <w:r>
        <w:rPr>
          <w:rFonts w:cs="PT Astra Serif" w:ascii="Times New Roman" w:hAnsi="Times New Roman"/>
          <w:sz w:val="28"/>
          <w:szCs w:val="28"/>
          <w:u w:val="single"/>
        </w:rPr>
        <w:t xml:space="preserve">Начальник управления  строительства, архитектуры администрации  МО      «Новомалыклинский район»                                                          Павлова Н.К. </w:t>
      </w:r>
      <w:r>
        <w:rPr>
          <w:rFonts w:eastAsia="PT Astra Serif" w:cs="PT Astra Serif" w:ascii="Times New Roman" w:hAnsi="Times New Roman"/>
          <w:sz w:val="20"/>
          <w:szCs w:val="20"/>
        </w:rPr>
        <w:t xml:space="preserve">     </w:t>
      </w:r>
      <w:r>
        <w:rPr>
          <w:rFonts w:cs="PT Astra Serif" w:ascii="Times New Roman" w:hAnsi="Times New Roman"/>
          <w:sz w:val="20"/>
          <w:szCs w:val="20"/>
        </w:rPr>
        <w:t>(должность, подпись и расшифровка подписи должностного лица,</w:t>
      </w:r>
      <w:r>
        <w:rPr>
          <w:rFonts w:cs="PT Astra Serif" w:ascii="Times New Roman" w:hAnsi="Times New Roman"/>
          <w:strike w:val="false"/>
          <w:dstrike w:val="false"/>
          <w:sz w:val="20"/>
          <w:szCs w:val="20"/>
          <w:u w:val="none"/>
          <w:effect w:val="none"/>
        </w:rPr>
        <w:t>ответственного за проведение публичных слушаний)</w:t>
      </w:r>
    </w:p>
    <w:sectPr>
      <w:type w:val="nextPage"/>
      <w:pgSz w:w="11906" w:h="16838"/>
      <w:pgMar w:left="1288" w:right="993" w:header="0" w:top="332" w:footer="0" w:bottom="181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YS Text">
    <w:altName w:val="Arial"/>
    <w:charset w:val="cc"/>
    <w:family w:val="roman"/>
    <w:pitch w:val="variable"/>
  </w:font>
  <w:font w:name="Symbol">
    <w:charset w:val="cc"/>
    <w:family w:val="roman"/>
    <w:pitch w:val="variable"/>
  </w:font>
  <w:font w:name="PT Astra Serif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entury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Heading 1"/>
    <w:basedOn w:val="Style19"/>
    <w:qFormat/>
    <w:pPr>
      <w:bidi w:val="0"/>
      <w:jc w:val="left"/>
    </w:pPr>
    <w:rPr/>
  </w:style>
  <w:style w:type="paragraph" w:styleId="2">
    <w:name w:val="Heading 2"/>
    <w:basedOn w:val="Style19"/>
    <w:qFormat/>
    <w:pPr/>
    <w:rPr/>
  </w:style>
  <w:style w:type="paragraph" w:styleId="3">
    <w:name w:val="Heading 3"/>
    <w:basedOn w:val="Style19"/>
    <w:qFormat/>
    <w:pPr/>
    <w:rPr/>
  </w:style>
  <w:style w:type="paragraph" w:styleId="4">
    <w:name w:val="Heading 4"/>
    <w:basedOn w:val="Style19"/>
    <w:qFormat/>
    <w:pPr/>
    <w:rPr/>
  </w:style>
  <w:style w:type="character" w:styleId="Style10">
    <w:name w:val="Интернет-ссылка"/>
    <w:rPr>
      <w:color w:val="000080"/>
      <w:u w:val="single"/>
      <w:lang w:val="zxx" w:eastAsia="zxx" w:bidi="zxx"/>
    </w:rPr>
  </w:style>
  <w:style w:type="character" w:styleId="Style11">
    <w:name w:val="Основной шрифт абзаца"/>
    <w:qFormat/>
    <w:rPr/>
  </w:style>
  <w:style w:type="character" w:styleId="Style12">
    <w:name w:val="Выделение жирным"/>
    <w:qFormat/>
    <w:rPr>
      <w:b/>
      <w:bCs/>
    </w:rPr>
  </w:style>
  <w:style w:type="character" w:styleId="Style13">
    <w:name w:val="???????? ????? ??????"/>
    <w:qFormat/>
    <w:rPr/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YS Text;Arial;Helvetica;sans-serif" w:hAnsi="YS Text;Arial;Helvetica;sans-serif" w:cs="OpenSymbol"/>
      <w:b w:val="false"/>
      <w:sz w:val="26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  <w:sz w:val="26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Style15">
    <w:name w:val="Символ сноски"/>
    <w:qFormat/>
    <w:rPr/>
  </w:style>
  <w:style w:type="character" w:styleId="Style16">
    <w:name w:val="Привязка сноски"/>
    <w:rPr>
      <w:vertAlign w:val="superscript"/>
    </w:rPr>
  </w:style>
  <w:style w:type="character" w:styleId="Style17">
    <w:name w:val="Символы концевой сноски"/>
    <w:qFormat/>
    <w:rPr/>
  </w:style>
  <w:style w:type="character" w:styleId="Style18">
    <w:name w:val="Привязка концевой сноски"/>
    <w:rPr>
      <w:vertAlign w:val="superscript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WW8Num23z0">
    <w:name w:val="WW8Num23z0"/>
    <w:qFormat/>
    <w:rPr>
      <w:rFonts w:ascii="Symbol" w:hAnsi="Symbol" w:eastAsia="Symbol" w:cs="Symbol"/>
      <w:color w:val="000000"/>
      <w:sz w:val="28"/>
      <w:szCs w:val="28"/>
    </w:rPr>
  </w:style>
  <w:style w:type="character" w:styleId="ListLabel28">
    <w:name w:val="ListLabel 28"/>
    <w:qFormat/>
    <w:rPr>
      <w:rFonts w:cs="Symbol"/>
      <w:color w:val="000000"/>
      <w:sz w:val="28"/>
      <w:szCs w:val="28"/>
    </w:rPr>
  </w:style>
  <w:style w:type="character" w:styleId="ListLabel37">
    <w:name w:val="ListLabel 37"/>
    <w:qFormat/>
    <w:rPr>
      <w:rFonts w:ascii="PT Astra Serif" w:hAnsi="PT Astra Serif"/>
      <w:sz w:val="26"/>
      <w:szCs w:val="26"/>
      <w:lang w:val="ru-RU"/>
    </w:rPr>
  </w:style>
  <w:style w:type="character" w:styleId="ListLabel39">
    <w:name w:val="ListLabel 39"/>
    <w:qFormat/>
    <w:rPr>
      <w:rFonts w:ascii="PT Astra Serif" w:hAnsi="PT Astra Serif"/>
      <w:sz w:val="27"/>
      <w:szCs w:val="27"/>
      <w:lang w:val="ru-RU"/>
    </w:rPr>
  </w:style>
  <w:style w:type="character" w:styleId="ListLabel163">
    <w:name w:val="ListLabel 163"/>
    <w:qFormat/>
    <w:rPr>
      <w:rFonts w:ascii="Times New Roman" w:hAnsi="Times New Roman"/>
      <w:b/>
      <w:sz w:val="28"/>
      <w:szCs w:val="28"/>
    </w:rPr>
  </w:style>
  <w:style w:type="character" w:styleId="ListLabel164">
    <w:name w:val="ListLabel 164"/>
    <w:qFormat/>
    <w:rPr>
      <w:b/>
      <w:sz w:val="28"/>
      <w:szCs w:val="28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bidi w:val="0"/>
      <w:spacing w:lineRule="auto" w:line="288" w:before="0" w:after="140"/>
      <w:jc w:val="left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/>
    <w:rPr/>
  </w:style>
  <w:style w:type="paragraph" w:styleId="Style26">
    <w:name w:val="Без интервала"/>
    <w:qFormat/>
    <w:pPr>
      <w:widowControl/>
      <w:suppressAutoHyphens w:val="true"/>
      <w:overflowPunct w:val="tru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Style27">
    <w:name w:val="Блочная цитата"/>
    <w:basedOn w:val="Normal"/>
    <w:qFormat/>
    <w:pPr/>
    <w:rPr/>
  </w:style>
  <w:style w:type="paragraph" w:styleId="Style28">
    <w:name w:val="Footer"/>
    <w:basedOn w:val="Normal"/>
    <w:pPr/>
    <w:rPr/>
  </w:style>
  <w:style w:type="paragraph" w:styleId="Style29">
    <w:name w:val="Иллюстрация"/>
    <w:basedOn w:val="Style22"/>
    <w:qFormat/>
    <w:pPr/>
    <w:rPr/>
  </w:style>
  <w:style w:type="paragraph" w:styleId="Style30">
    <w:name w:val="Содержимое врезки"/>
    <w:basedOn w:val="Normal"/>
    <w:qFormat/>
    <w:pPr/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Century" w:hAnsi="Century" w:eastAsia="Times New Roman" w:cs="Times New Roman"/>
      <w:color w:val="00000A"/>
      <w:sz w:val="20"/>
      <w:szCs w:val="20"/>
      <w:lang w:val="en-US" w:eastAsia="ru-RU" w:bidi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ConsPlusNonformat">
    <w:name w:val="ConsPlusNonformat"/>
    <w:qFormat/>
    <w:pPr>
      <w:widowControl w:val="false"/>
      <w:suppressAutoHyphens w:val="true"/>
      <w:overflowPunct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numbering" w:styleId="WW8Num23">
    <w:name w:val="WW8Num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1765</TotalTime>
  <Application>LibreOffice/5.2.1.2$Windows_x86 LibreOffice_project/31dd62db80d4e60af04904455ec9c9219178d620</Application>
  <Pages>1</Pages>
  <Words>245</Words>
  <Characters>1952</Characters>
  <CharactersWithSpaces>3336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2017-04-24T11:55:47Z</dcterms:created>
  <dc:creator/>
  <dc:description/>
  <dc:language>ru-RU</dc:language>
  <cp:lastModifiedBy/>
  <cp:lastPrinted>2024-02-19T11:15:22Z</cp:lastPrinted>
  <dcterms:modified xsi:type="dcterms:W3CDTF">2024-07-19T10:25:08Z</dcterms:modified>
  <cp:revision>167</cp:revision>
  <dc:subject/>
  <dc:title/>
</cp:coreProperties>
</file>