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</w:t>
      </w:r>
    </w:p>
    <w:p>
      <w:pPr>
        <w:pStyle w:val="ListParagraph"/>
        <w:ind w:lef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 </w:t>
      </w:r>
      <w:r>
        <w:rPr>
          <w:rFonts w:cs="PT Astra Serif" w:ascii="PT Astra Serif" w:hAnsi="PT Astra Serif"/>
          <w:strike w:val="false"/>
          <w:dstrike w:val="false"/>
          <w:sz w:val="28"/>
          <w:szCs w:val="28"/>
          <w:u w:val="none"/>
          <w:effect w:val="none"/>
          <w:lang w:val="ru-RU"/>
        </w:rPr>
        <w:t>ЗАКЛЮЧЕНИЕ</w:t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о результатах  публичных слушаний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   </w:t>
      </w:r>
      <w:r>
        <w:rPr>
          <w:rFonts w:cs="PT Astra Serif" w:ascii="PT Astra Serif" w:hAnsi="PT Astra Serif"/>
          <w:sz w:val="28"/>
          <w:szCs w:val="28"/>
          <w:lang w:val="ru-RU"/>
        </w:rPr>
        <w:t>«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 xml:space="preserve"> 0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 xml:space="preserve">9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» 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 xml:space="preserve">сентября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20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24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г.</w:t>
        <w:tab/>
        <w:tab/>
        <w:tab/>
        <w:tab/>
        <w:tab/>
        <w:tab/>
        <w:tab/>
        <w:tab/>
      </w:r>
    </w:p>
    <w:p>
      <w:pPr>
        <w:pStyle w:val="ConsPlusNonformat"/>
        <w:rPr/>
      </w:pPr>
      <w:r>
        <w:rPr>
          <w:rFonts w:cs="PT Astra Serif" w:ascii="PT Astra Serif" w:hAnsi="PT Astra Serif"/>
        </w:rPr>
        <w:t xml:space="preserve">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Наименование проекта, вынесенного на публичные слушания:  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 w:eastAsia="ru-RU"/>
        </w:rPr>
        <w:t xml:space="preserve"> </w:t>
      </w:r>
      <w:r>
        <w:rPr>
          <w:rFonts w:eastAsia="PT Astra Serif" w:cs="Times New Roman" w:ascii="PT Astra Serif" w:hAnsi="PT Astra Serif"/>
          <w:b w:val="false"/>
          <w:bCs w:val="false"/>
          <w:sz w:val="28"/>
          <w:szCs w:val="28"/>
          <w:u w:val="single"/>
          <w:lang w:val="ru-RU" w:eastAsia="ru-RU"/>
        </w:rPr>
        <w:t>предоставление  разрешения на условно разрешенный вид использования земельного участка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  <w:u w:val="single"/>
          <w:lang w:val="ru-RU" w:eastAsia="ru-RU"/>
        </w:rPr>
        <w:t xml:space="preserve"> под «служебные гаражи»,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/>
        </w:rPr>
        <w:t xml:space="preserve"> расположенного по адресу: Российская Федерация, Ульяновская область, Новомалыклинский район, муниципальное образование «Высококолковское сельское поселение», село Высокий Колок, улица Советская 20/1</w:t>
      </w:r>
      <w:bookmarkStart w:id="0" w:name="__DdeLink__103137_1660168949"/>
      <w:r>
        <w:rPr>
          <w:rFonts w:eastAsia="PT Astra Serif" w:cs="PT Astra Serif" w:ascii="PT Astra Serif" w:hAnsi="PT Astra Serif"/>
          <w:bCs/>
          <w:sz w:val="28"/>
          <w:szCs w:val="28"/>
          <w:u w:val="single"/>
          <w:lang w:val="ru-RU" w:eastAsia="ru-RU"/>
        </w:rPr>
        <w:t>.</w:t>
      </w:r>
      <w:bookmarkEnd w:id="0"/>
      <w:r>
        <w:rPr>
          <w:rFonts w:eastAsia="PT Astra Serif" w:cs="PT Astra Serif" w:ascii="PT Astra Serif" w:hAnsi="PT Astra Serif"/>
          <w:bCs/>
          <w:sz w:val="28"/>
          <w:szCs w:val="28"/>
          <w:u w:val="single"/>
          <w:lang w:val="ru-RU" w:eastAsia="ru-RU"/>
        </w:rPr>
        <w:t xml:space="preserve">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     </w:t>
      </w:r>
      <w:r>
        <w:rPr>
          <w:rFonts w:cs="PT Astra Serif" w:ascii="PT Astra Serif" w:hAnsi="PT Astra Serif"/>
          <w:sz w:val="28"/>
          <w:szCs w:val="28"/>
        </w:rPr>
        <w:t xml:space="preserve">В публичных слушаниях приняли участие 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 14 (четырнадцать) участников.                                   </w:t>
      </w:r>
      <w:r>
        <w:rPr>
          <w:rFonts w:cs="PT Astra Serif" w:ascii="PT Astra Serif" w:hAnsi="PT Astra Serif"/>
        </w:rPr>
        <w:t xml:space="preserve">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Заключение о результатах публичных слушаний подготовлено</w:t>
        <w:br/>
        <w:t>на основании протокола публичных слушаний</w:t>
        <w:br/>
        <w:t>от «</w:t>
      </w:r>
      <w:r>
        <w:rPr>
          <w:rFonts w:cs="PT Astra Serif" w:ascii="PT Astra Serif" w:hAnsi="PT Astra Serif"/>
          <w:sz w:val="28"/>
          <w:szCs w:val="28"/>
          <w:u w:val="single"/>
        </w:rPr>
        <w:t>06</w:t>
      </w:r>
      <w:r>
        <w:rPr>
          <w:rFonts w:cs="PT Astra Serif" w:ascii="PT Astra Serif" w:hAnsi="PT Astra Serif"/>
          <w:sz w:val="28"/>
          <w:szCs w:val="28"/>
        </w:rPr>
        <w:t xml:space="preserve">» </w:t>
      </w:r>
      <w:r>
        <w:rPr>
          <w:rFonts w:cs="PT Astra Serif" w:ascii="PT Astra Serif" w:hAnsi="PT Astra Serif"/>
          <w:sz w:val="28"/>
          <w:szCs w:val="28"/>
          <w:u w:val="single"/>
        </w:rPr>
        <w:t>сентября</w:t>
      </w:r>
      <w:r>
        <w:rPr>
          <w:rFonts w:cs="PT Astra Serif" w:ascii="PT Astra Serif" w:hAnsi="PT Astra Serif"/>
          <w:sz w:val="28"/>
          <w:szCs w:val="28"/>
        </w:rPr>
        <w:t xml:space="preserve"> 20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 24_</w:t>
      </w:r>
      <w:r>
        <w:rPr>
          <w:rFonts w:cs="PT Astra Serif" w:ascii="PT Astra Serif" w:hAnsi="PT Astra Serif"/>
          <w:sz w:val="28"/>
          <w:szCs w:val="28"/>
        </w:rPr>
        <w:t xml:space="preserve"> 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</w:t>
      </w:r>
    </w:p>
    <w:p>
      <w:pPr>
        <w:pStyle w:val="ConsPlusNonformat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ходе проведения  публичных слушаний участниками были внесены следующие замечания и предложения:   </w:t>
      </w:r>
    </w:p>
    <w:tbl>
      <w:tblPr>
        <w:tblW w:w="9543" w:type="dxa"/>
        <w:jc w:val="left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</w:tblPr>
      <w:tblGrid>
        <w:gridCol w:w="682"/>
        <w:gridCol w:w="6004"/>
        <w:gridCol w:w="2857"/>
      </w:tblGrid>
      <w:tr>
        <w:trPr/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ind w:left="-37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2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ConsPlusNonformat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Style10"/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 xml:space="preserve"> </w:t>
            </w:r>
            <w:r>
              <w:rPr>
                <w:rStyle w:val="Style10"/>
                <w:rFonts w:eastAsia="Times New Roman" w:cs="PT Astra Serif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>Бердяева Ольга Николаевна</w:t>
            </w:r>
          </w:p>
          <w:p>
            <w:pPr>
              <w:pStyle w:val="ConsPlusNonformat"/>
              <w:snapToGrid w:val="false"/>
              <w:jc w:val="left"/>
              <w:rPr/>
            </w:pPr>
            <w:r>
              <w:rPr>
                <w:rStyle w:val="Style10"/>
                <w:rFonts w:eastAsia="Times New Roman" w:cs="PT Astra Serif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>с.Высокий Колок,</w:t>
            </w:r>
            <w:bookmarkStart w:id="1" w:name="__DdeLink__2971_644349523"/>
            <w:bookmarkEnd w:id="1"/>
            <w:r>
              <w:rPr>
                <w:rStyle w:val="Style10"/>
                <w:rFonts w:eastAsia="Times New Roman" w:cs="PT Astra Serif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 xml:space="preserve"> ул.Нижняя, д.6.</w:t>
            </w:r>
          </w:p>
          <w:p>
            <w:pPr>
              <w:pStyle w:val="ConsPlusNonformat"/>
              <w:snapToGrid w:val="false"/>
              <w:jc w:val="left"/>
              <w:rPr>
                <w:rStyle w:val="Style10"/>
                <w:rFonts w:ascii="Times New Roman" w:hAnsi="Times New Roman" w:eastAsia="Times New Roman" w:cs="PT Astra Serif"/>
                <w:b w:val="false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</w:pPr>
            <w:r>
              <w:rPr>
                <w:rFonts w:eastAsia="Times New Roman" w:cs="PT Astra Serif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</w:r>
          </w:p>
          <w:p>
            <w:pPr>
              <w:pStyle w:val="Style24"/>
              <w:snapToGrid w:val="false"/>
              <w:jc w:val="both"/>
              <w:rPr/>
            </w:pPr>
            <w:r>
              <w:rPr>
                <w:rStyle w:val="Style10"/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>Согласно Правил  землепользования и застройки муниципального образования «Высококолковское сельское поселение» утвержденые</w:t>
            </w:r>
            <w:r>
              <w:rPr>
                <w:rStyle w:val="Style10"/>
                <w:rFonts w:eastAsia="Arial"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 xml:space="preserve"> решением Совета депутатов муниципального образования «Высококолковское сельское поселение»  от 14.07.2014 № 11/24 «Об утверждении  Правил землепользования и застройки муниципального образования «Высококолковское сельское поселение» Новомалыклинского района Ульяновской области</w:t>
            </w:r>
            <w:r>
              <w:rPr>
                <w:rStyle w:val="Style10"/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2"/>
                <w:szCs w:val="22"/>
                <w:u w:val="none"/>
                <w:lang w:val="ru-RU" w:eastAsia="ru-RU"/>
              </w:rPr>
              <w:t xml:space="preserve"> (последние изменения утверждены Приказом Министерства строительства и архитектуры Ульяновской области от 27.12.2021 № 250-пр), земельный участок (кадастровый квартал 73:10:050904), расположенный по адресу: Ульяновская область, Новомалыклинский район, с.Высокий Колок, ул.Советская, 20/1, расположен в территориальной зоне СП2 (зона специального назначения, связанная с размещением государственных объектов). В данной зоне, в перечне основных видов разрешенного использования земельного участке  «служебные гаражи» не предусмотрена, в связи с этим возникла необходимость в проведении публичных слушаний для получения разрешения на условно разрешенный вид использования земельного участка «служебные гаражи».</w:t>
            </w:r>
          </w:p>
        </w:tc>
        <w:tc>
          <w:tcPr>
            <w:tcW w:w="2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Style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 целесообразно</w:t>
            </w:r>
          </w:p>
        </w:tc>
      </w:tr>
    </w:tbl>
    <w:p>
      <w:pPr>
        <w:pStyle w:val="ConsPlusNonformat"/>
        <w:ind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В ходе проведения публичных слушаний иными участниками были внесены следующие замечания и предложения:  </w:t>
      </w:r>
    </w:p>
    <w:tbl>
      <w:tblPr>
        <w:tblW w:w="952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</w:tblPr>
      <w:tblGrid>
        <w:gridCol w:w="675"/>
        <w:gridCol w:w="3688"/>
        <w:gridCol w:w="5162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ind w:left="-37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Style24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Style24"/>
              <w:rPr/>
            </w:pPr>
            <w:r>
              <w:rPr/>
              <w:t>-</w:t>
            </w:r>
          </w:p>
        </w:tc>
      </w:tr>
    </w:tbl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PT Astra Serif" w:ascii="Times New Roman" w:hAnsi="Times New Roman"/>
          <w:sz w:val="28"/>
          <w:szCs w:val="28"/>
        </w:rPr>
        <w:t xml:space="preserve">  </w:t>
      </w:r>
      <w:r>
        <w:rPr>
          <w:rFonts w:cs="PT Astra Serif" w:ascii="Times New Roman" w:hAnsi="Times New Roman"/>
          <w:sz w:val="28"/>
          <w:szCs w:val="28"/>
        </w:rPr>
        <w:t xml:space="preserve">Рекомендации организатора публичных слушаний:  </w:t>
      </w:r>
      <w:r>
        <w:rPr>
          <w:rFonts w:eastAsia="Times New Roman" w:cs="Times New Roman" w:ascii="Times New Roman" w:hAnsi="Times New Roman"/>
          <w:b w:val="false"/>
          <w:bCs w:val="false"/>
          <w:iCs/>
          <w:sz w:val="28"/>
          <w:szCs w:val="28"/>
          <w:u w:val="single"/>
          <w:lang w:val="ru-RU" w:eastAsia="ru-RU"/>
        </w:rPr>
        <w:t>Предоставить разрешение</w:t>
      </w:r>
      <w:r>
        <w:rPr>
          <w:rFonts w:eastAsia="Times New Roman" w:cs="Times New Roman" w:ascii="Times New Roman" w:hAnsi="Times New Roman"/>
          <w:b w:val="false"/>
          <w:bCs/>
          <w:iCs/>
          <w:sz w:val="28"/>
          <w:szCs w:val="28"/>
          <w:u w:val="single"/>
          <w:lang w:val="ru-RU" w:eastAsia="ru-RU"/>
        </w:rPr>
        <w:t xml:space="preserve">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Cs/>
          <w:color w:val="000000"/>
          <w:sz w:val="28"/>
          <w:szCs w:val="28"/>
          <w:u w:val="single"/>
          <w:lang w:val="ru-RU" w:eastAsia="ru-RU"/>
        </w:rPr>
        <w:t xml:space="preserve">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                                </w:t>
      </w:r>
      <w:r>
        <w:rPr>
          <w:rStyle w:val="Style13"/>
          <w:rFonts w:eastAsia="PT Astra Serif" w:cs="Times New Roman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на условно разрешенный вид использования земельного участка</w:t>
      </w:r>
      <w:r>
        <w:rPr>
          <w:rStyle w:val="Style13"/>
          <w:rFonts w:eastAsia="PT Astra Serif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под «служебные гаражи»</w:t>
      </w:r>
      <w:r>
        <w:rPr>
          <w:rStyle w:val="Style13"/>
          <w:rFonts w:eastAsia="PT Astra Serif" w:cs="PT Astra Serif" w:ascii="PT Astra Serif" w:hAnsi="PT Astra Serif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расположенного по адресу: Российская Федерация, Ульяновская область, Новомалыклинский район, муниципальное образование «Высококолковское сельское поселение», село Высокий Колок, улица Советская, 20/1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</w:t>
      </w:r>
      <w:r>
        <w:rPr>
          <w:rStyle w:val="Style13"/>
          <w:rFonts w:eastAsia="PT Astra Serif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                        </w:t>
      </w:r>
      <w:r>
        <w:rPr>
          <w:rFonts w:cs="PT Astra Serif" w:ascii="Times New Roman" w:hAnsi="Times New Roman"/>
          <w:sz w:val="28"/>
          <w:szCs w:val="28"/>
        </w:rPr>
        <w:t xml:space="preserve">  </w:t>
      </w:r>
    </w:p>
    <w:p>
      <w:pPr>
        <w:pStyle w:val="ConsPlusNonformat"/>
        <w:jc w:val="center"/>
        <w:rPr>
          <w:rFonts w:ascii="PT Astra Serif" w:hAnsi="PT Astra Serif" w:cs="PT Astra Serif"/>
        </w:rPr>
      </w:pPr>
      <w:r>
        <w:rPr>
          <w:rFonts w:cs="PT Astra Serif" w:ascii="Times New Roman" w:hAnsi="Times New Roman"/>
        </w:rPr>
        <w:t>(направление проекта на дальнейшее согласование и утверждение либо на направление проекта на доработку)</w:t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Normal"/>
        <w:rPr/>
      </w:pPr>
      <w:r>
        <w:rPr>
          <w:rFonts w:cs="PT Astra Serif" w:ascii="Times New Roman" w:hAnsi="Times New Roman"/>
          <w:sz w:val="28"/>
          <w:szCs w:val="28"/>
          <w:u w:val="single"/>
        </w:rPr>
        <w:t xml:space="preserve">Начальник управления  строительства, архитектуры администрации МО      «Новомалыклинский район»                                                          Павлова Н.К. 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</w:t>
      </w:r>
      <w:r>
        <w:rPr>
          <w:rFonts w:eastAsia="PT Astra Serif" w:cs="PT Astra Serif" w:ascii="Times New Roman" w:hAnsi="Times New Roman"/>
          <w:sz w:val="20"/>
          <w:szCs w:val="20"/>
        </w:rPr>
        <w:t xml:space="preserve">      </w:t>
      </w:r>
      <w:r>
        <w:rPr>
          <w:rFonts w:cs="PT Astra Serif" w:ascii="Times New Roman" w:hAnsi="Times New Roman"/>
          <w:sz w:val="20"/>
          <w:szCs w:val="20"/>
        </w:rPr>
        <w:t>(должность, подпись и расшифровка подписи должностного лица,</w:t>
      </w:r>
    </w:p>
    <w:p>
      <w:pPr>
        <w:pStyle w:val="ConsPlusNonformat"/>
        <w:jc w:val="center"/>
        <w:rPr/>
      </w:pPr>
      <w:r>
        <w:rPr>
          <w:rFonts w:cs="PT Astra Serif" w:ascii="Times New Roman" w:hAnsi="Times New Roman"/>
          <w:strike w:val="false"/>
          <w:dstrike w:val="false"/>
          <w:sz w:val="20"/>
          <w:szCs w:val="20"/>
          <w:u w:val="none"/>
          <w:effect w:val="none"/>
        </w:rPr>
        <w:t>ответственного за проведение публичных слушаний)</w:t>
      </w:r>
    </w:p>
    <w:sectPr>
      <w:type w:val="nextPage"/>
      <w:pgSz w:w="11906" w:h="16838"/>
      <w:pgMar w:left="1388" w:right="993" w:header="0" w:top="332" w:footer="0" w:bottom="181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YS Text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entury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9"/>
    <w:qFormat/>
    <w:pPr>
      <w:bidi w:val="0"/>
      <w:jc w:val="left"/>
    </w:pPr>
    <w:rPr/>
  </w:style>
  <w:style w:type="paragraph" w:styleId="2">
    <w:name w:val="Heading 2"/>
    <w:basedOn w:val="Style19"/>
    <w:qFormat/>
    <w:pPr/>
    <w:rPr/>
  </w:style>
  <w:style w:type="paragraph" w:styleId="3">
    <w:name w:val="Heading 3"/>
    <w:basedOn w:val="Style19"/>
    <w:qFormat/>
    <w:pPr/>
    <w:rPr/>
  </w:style>
  <w:style w:type="paragraph" w:styleId="4">
    <w:name w:val="Heading 4"/>
    <w:basedOn w:val="Style19"/>
    <w:qFormat/>
    <w:pPr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Основной шрифт абзаца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???????? ????? ??????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YS Text;Arial;Helvetica;sans-serif" w:hAnsi="YS Text;Arial;Helvetica;sans-serif" w:cs="OpenSymbol"/>
      <w:b w:val="false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WW8Num23z0">
    <w:name w:val="WW8Num23z0"/>
    <w:qFormat/>
    <w:rPr>
      <w:rFonts w:ascii="Symbol" w:hAnsi="Symbol" w:eastAsia="Symbol" w:cs="Symbol"/>
      <w:color w:val="000000"/>
      <w:sz w:val="28"/>
      <w:szCs w:val="28"/>
    </w:rPr>
  </w:style>
  <w:style w:type="character" w:styleId="ListLabel28">
    <w:name w:val="ListLabel 28"/>
    <w:qFormat/>
    <w:rPr>
      <w:rFonts w:cs="Symbol"/>
      <w:color w:val="000000"/>
      <w:sz w:val="28"/>
      <w:szCs w:val="28"/>
    </w:rPr>
  </w:style>
  <w:style w:type="character" w:styleId="ListLabel37">
    <w:name w:val="ListLabel 37"/>
    <w:qFormat/>
    <w:rPr>
      <w:rFonts w:ascii="PT Astra Serif" w:hAnsi="PT Astra Serif"/>
      <w:sz w:val="26"/>
      <w:szCs w:val="26"/>
      <w:lang w:val="ru-RU"/>
    </w:rPr>
  </w:style>
  <w:style w:type="character" w:styleId="ListLabel39">
    <w:name w:val="ListLabel 39"/>
    <w:qFormat/>
    <w:rPr>
      <w:rFonts w:ascii="PT Astra Serif" w:hAnsi="PT Astra Serif"/>
      <w:sz w:val="27"/>
      <w:szCs w:val="27"/>
      <w:lang w:val="ru-RU"/>
    </w:rPr>
  </w:style>
  <w:style w:type="character" w:styleId="ListLabel163">
    <w:name w:val="ListLabel 163"/>
    <w:qFormat/>
    <w:rPr>
      <w:rFonts w:ascii="Times New Roman" w:hAnsi="Times New Roman"/>
      <w:b/>
      <w:sz w:val="28"/>
      <w:szCs w:val="28"/>
    </w:rPr>
  </w:style>
  <w:style w:type="character" w:styleId="ListLabel164">
    <w:name w:val="ListLabel 164"/>
    <w:qFormat/>
    <w:rPr>
      <w:b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bidi w:val="0"/>
      <w:spacing w:lineRule="auto" w:line="288" w:before="0" w:after="140"/>
      <w:jc w:val="left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Style27">
    <w:name w:val="Блочная цитата"/>
    <w:basedOn w:val="Normal"/>
    <w:qFormat/>
    <w:pPr/>
    <w:rPr/>
  </w:style>
  <w:style w:type="paragraph" w:styleId="Style28">
    <w:name w:val="Footer"/>
    <w:basedOn w:val="Normal"/>
    <w:pPr/>
    <w:rPr/>
  </w:style>
  <w:style w:type="paragraph" w:styleId="Style29">
    <w:name w:val="Иллюстрация"/>
    <w:basedOn w:val="Style22"/>
    <w:qFormat/>
    <w:pPr/>
    <w:rPr/>
  </w:style>
  <w:style w:type="paragraph" w:styleId="Style30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1750</TotalTime>
  <Application>LibreOffice/5.2.1.2$Windows_x86 LibreOffice_project/31dd62db80d4e60af04904455ec9c9219178d620</Application>
  <Pages>2</Pages>
  <Words>331</Words>
  <Characters>2677</Characters>
  <CharactersWithSpaces>4249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2017-04-24T11:55:47Z</dcterms:created>
  <dc:creator/>
  <dc:description/>
  <dc:language>ru-RU</dc:language>
  <cp:lastModifiedBy/>
  <cp:lastPrinted>2024-09-09T16:19:39Z</cp:lastPrinted>
  <dcterms:modified xsi:type="dcterms:W3CDTF">2024-09-09T16:20:57Z</dcterms:modified>
  <cp:revision>162</cp:revision>
  <dc:subject/>
  <dc:title/>
</cp:coreProperties>
</file>