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</w:t>
      </w:r>
    </w:p>
    <w:p>
      <w:pPr>
        <w:pStyle w:val="ListParagraph"/>
        <w:ind w:lef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 </w:t>
      </w:r>
      <w:r>
        <w:rPr>
          <w:rFonts w:cs="PT Astra Serif" w:ascii="PT Astra Serif" w:hAnsi="PT Astra Serif"/>
          <w:strike w:val="false"/>
          <w:dstrike w:val="false"/>
          <w:sz w:val="28"/>
          <w:szCs w:val="28"/>
          <w:u w:val="none"/>
          <w:effect w:val="none"/>
          <w:lang w:val="ru-RU"/>
        </w:rPr>
        <w:t>ЗАКЛЮЧЕНИЕ</w:t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о результатах  публичных слушаний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   </w:t>
      </w:r>
      <w:r>
        <w:rPr>
          <w:rFonts w:cs="PT Astra Serif" w:ascii="PT Astra Serif" w:hAnsi="PT Astra Serif"/>
          <w:sz w:val="28"/>
          <w:szCs w:val="28"/>
          <w:lang w:val="ru-RU"/>
        </w:rPr>
        <w:t>«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_10_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» 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_апреля_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20</w:t>
      </w:r>
      <w:r>
        <w:rPr>
          <w:rFonts w:cs="PT Astra Serif" w:ascii="PT Astra Serif" w:hAnsi="PT Astra Serif"/>
          <w:sz w:val="28"/>
          <w:szCs w:val="28"/>
          <w:u w:val="single"/>
          <w:lang w:val="ru-RU"/>
        </w:rPr>
        <w:t>25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г.</w:t>
        <w:tab/>
        <w:tab/>
        <w:tab/>
        <w:tab/>
        <w:tab/>
        <w:tab/>
        <w:tab/>
        <w:tab/>
      </w:r>
    </w:p>
    <w:p>
      <w:pPr>
        <w:pStyle w:val="ConsPlusNonformat"/>
        <w:rPr/>
      </w:pPr>
      <w:r>
        <w:rPr>
          <w:rFonts w:cs="PT Astra Serif" w:ascii="PT Astra Serif" w:hAnsi="PT Astra Serif"/>
        </w:rPr>
        <w:t xml:space="preserve">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Наименование проекта, вынесенного на публичные слушания:                                 </w:t>
      </w:r>
      <w:r>
        <w:rPr>
          <w:rFonts w:eastAsia="PT Astra Serif" w:cs="PT Astra Serif" w:ascii="PT Astra Serif" w:hAnsi="PT Astra Serif"/>
          <w:sz w:val="28"/>
          <w:szCs w:val="28"/>
          <w:u w:val="single"/>
        </w:rPr>
        <w:t xml:space="preserve">по вопросу_предоставления разрешения на отклонение от предельных параметров разрешенного строительства объектов капитального строительства на земельном участке 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/>
        </w:rPr>
        <w:t>расположенного по адресу: Российская Федерация, Ульяновская область, Новомалыклинский район, муниципальное образование «Среднесантимирское сельское поселение», поселок Ивановка</w:t>
      </w:r>
      <w:bookmarkStart w:id="0" w:name="__DdeLink__103137_1660168949"/>
      <w:bookmarkEnd w:id="0"/>
      <w:r>
        <w:rPr>
          <w:rFonts w:eastAsia="PT Astra Serif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, улица Речная 7,                  в части уменьшения отступа от юго-восточной границы земельного участка                с 3.0 метров  до границы земельного участка.                                                        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     </w:t>
      </w:r>
      <w:r>
        <w:rPr>
          <w:rFonts w:cs="PT Astra Serif" w:ascii="PT Astra Serif" w:hAnsi="PT Astra Serif"/>
          <w:sz w:val="28"/>
          <w:szCs w:val="28"/>
        </w:rPr>
        <w:t>В публичных слушаниях приняли участие</w:t>
      </w:r>
      <w:r>
        <w:rPr>
          <w:rFonts w:cs="PT Astra Serif" w:ascii="PT Astra Serif" w:hAnsi="PT Astra Serif"/>
          <w:sz w:val="28"/>
          <w:szCs w:val="28"/>
          <w:u w:val="single"/>
        </w:rPr>
        <w:t>_  (пять)_участников._             _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Заключение о результатах публичных слушаний подготовлено</w:t>
        <w:br/>
        <w:t>на основании протокола публичных слушаний</w:t>
        <w:br/>
        <w:t>от «</w:t>
      </w:r>
      <w:r>
        <w:rPr>
          <w:rFonts w:cs="PT Astra Serif" w:ascii="PT Astra Serif" w:hAnsi="PT Astra Serif"/>
          <w:sz w:val="28"/>
          <w:szCs w:val="28"/>
          <w:u w:val="single"/>
        </w:rPr>
        <w:t>09</w:t>
      </w:r>
      <w:r>
        <w:rPr>
          <w:rFonts w:cs="PT Astra Serif" w:ascii="PT Astra Serif" w:hAnsi="PT Astra Serif"/>
          <w:sz w:val="28"/>
          <w:szCs w:val="28"/>
        </w:rPr>
        <w:t>» _</w:t>
      </w:r>
      <w:r>
        <w:rPr>
          <w:rFonts w:cs="PT Astra Serif" w:ascii="PT Astra Serif" w:hAnsi="PT Astra Serif"/>
          <w:sz w:val="28"/>
          <w:szCs w:val="28"/>
          <w:u w:val="single"/>
        </w:rPr>
        <w:t>апреля</w:t>
      </w:r>
      <w:r>
        <w:rPr>
          <w:rFonts w:cs="PT Astra Serif" w:ascii="PT Astra Serif" w:hAnsi="PT Astra Serif"/>
          <w:sz w:val="28"/>
          <w:szCs w:val="28"/>
        </w:rPr>
        <w:t>_ 20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 25_</w:t>
      </w:r>
      <w:r>
        <w:rPr>
          <w:rFonts w:cs="PT Astra Serif" w:ascii="PT Astra Serif" w:hAnsi="PT Astra Serif"/>
          <w:sz w:val="28"/>
          <w:szCs w:val="28"/>
        </w:rPr>
        <w:t xml:space="preserve"> 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</w:t>
      </w:r>
    </w:p>
    <w:p>
      <w:pPr>
        <w:pStyle w:val="ConsPlusNonformat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ходе проведения  публичных слушаний участниками были внесены следующие замечания и предложения:   </w:t>
      </w:r>
    </w:p>
    <w:tbl>
      <w:tblPr>
        <w:tblW w:w="9543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</w:tblPr>
      <w:tblGrid>
        <w:gridCol w:w="682"/>
        <w:gridCol w:w="5956"/>
        <w:gridCol w:w="2905"/>
      </w:tblGrid>
      <w:tr>
        <w:trPr/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5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ind w:left="-37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>
          <w:trHeight w:val="1691" w:hRule="atLeast"/>
        </w:trPr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5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ConsPlusNonformat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PT Astra Serif" w:ascii="Times New Roman" w:hAnsi="Times New Roman"/>
                <w:sz w:val="22"/>
                <w:szCs w:val="22"/>
              </w:rPr>
              <w:t>Маринин Сергей Александрович</w:t>
            </w:r>
          </w:p>
          <w:p>
            <w:pPr>
              <w:pStyle w:val="ConsPlusNonformat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 xml:space="preserve">п.Ивановка, ул.Дачная,36  </w:t>
            </w:r>
          </w:p>
          <w:p>
            <w:pPr>
              <w:pStyle w:val="ConsPlusNonformat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собственник смежного участка</w:t>
            </w:r>
          </w:p>
          <w:p>
            <w:pPr>
              <w:pStyle w:val="Style24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 xml:space="preserve">Претензий к собственнику земельного участка № 7 по ул. Речной в п.Ивановка не имеет, совместно с Новичковым С.В. построили дорогу между земельными участками. 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Style24"/>
              <w:rPr/>
            </w:pPr>
            <w:r>
              <w:rPr>
                <w:sz w:val="21"/>
                <w:szCs w:val="21"/>
              </w:rPr>
              <w:t>Предложение  целесообразно</w:t>
            </w:r>
          </w:p>
        </w:tc>
      </w:tr>
      <w:tr>
        <w:trPr/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5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Новичков Сергей Владимирович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п.Ивановка, ул.Дачная,1 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Предложил рассмотреть вопрос о необходимости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 xml:space="preserve">предоставления 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разрешения на отклонение от предельных параметров разрешенного строительства объектов капитального строительства  на земельном участке с кадастровым номером 73:10:030801:233, расположенного                     по адресу: Новомалыклинский   район, муниципальное образование «Среднесантимирское сельское поселение», п.Ивановка, ул.Речная, 7, в части уменьшения отступа от    юго-восточной границы земельного участка с 3 метров до границы земельного участка, для дальнейшего оформления документации объектов капитального строительства.</w:t>
            </w:r>
          </w:p>
          <w:p>
            <w:pPr>
              <w:pStyle w:val="Style24"/>
              <w:jc w:val="both"/>
              <w:rPr/>
            </w:pP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Как заинтер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е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сованные лица Новичков С.В.  и Маринин С.А. построили дорогу которая обеспечит удобный подъезд к земельным участкам  с  кадастровыми  номерами:</w:t>
            </w:r>
          </w:p>
          <w:p>
            <w:pPr>
              <w:pStyle w:val="Style24"/>
              <w:jc w:val="left"/>
              <w:rPr/>
            </w:pP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 xml:space="preserve"> 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Новичков С.В.(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242424"/>
                <w:spacing w:val="0"/>
                <w:sz w:val="22"/>
                <w:szCs w:val="22"/>
                <w:u w:val="none"/>
                <w:lang w:val="ru-RU" w:eastAsia="ru-RU"/>
              </w:rPr>
              <w:t xml:space="preserve">73:10:030801:233);     </w:t>
            </w:r>
          </w:p>
          <w:p>
            <w:pPr>
              <w:pStyle w:val="ConsPlusNonformat"/>
              <w:snapToGrid w:val="false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242424"/>
                <w:spacing w:val="0"/>
                <w:sz w:val="22"/>
                <w:szCs w:val="22"/>
                <w:u w:val="none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242424"/>
                <w:spacing w:val="0"/>
                <w:sz w:val="22"/>
                <w:szCs w:val="22"/>
                <w:u w:val="none"/>
                <w:lang w:val="ru-RU" w:eastAsia="ru-RU"/>
              </w:rPr>
              <w:t>Маринин С.А. (73:10:030801:218, 73:10:030801:225, 73:10:030801:221, 73:10:030801:222, 73:10:030801:226)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Style24"/>
              <w:rPr/>
            </w:pPr>
            <w:r>
              <w:rPr>
                <w:sz w:val="21"/>
                <w:szCs w:val="21"/>
              </w:rPr>
              <w:t>Предложение  целесообразно</w:t>
            </w:r>
          </w:p>
        </w:tc>
      </w:tr>
    </w:tbl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ConsPlusNonformat"/>
        <w:ind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В ходе проведения публичных слушаний иными участниками были внесены следующие замечания и предложения:  </w:t>
      </w:r>
    </w:p>
    <w:tbl>
      <w:tblPr>
        <w:tblW w:w="9525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</w:tblPr>
      <w:tblGrid>
        <w:gridCol w:w="675"/>
        <w:gridCol w:w="4488"/>
        <w:gridCol w:w="4362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4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ind w:left="-37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4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4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ConsPlusNonformat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Павлова Наталья Константиновна                                    с.Новая Малыкла, ул.Советская, д.25а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/>
                <w:caps w:val="false"/>
                <w:smallCaps w:val="false"/>
                <w:color w:val="242424"/>
                <w:spacing w:val="0"/>
                <w:sz w:val="22"/>
                <w:szCs w:val="22"/>
              </w:rPr>
              <w:t>Земельный участок с кадастровым номером 73:10:030801:233, по адресу: Ульяновская область, Новомалыклинский район, п.Ивановка, ул.Речная, 7 расположен в территориальной зон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242424"/>
                <w:spacing w:val="0"/>
                <w:sz w:val="22"/>
                <w:szCs w:val="22"/>
              </w:rPr>
              <w:t>е Ж1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2"/>
                <w:szCs w:val="22"/>
              </w:rPr>
              <w:t>Зона застройки индивидуальными жилыми домами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). Согласно </w:t>
            </w:r>
            <w:r>
              <w:rPr>
                <w:rStyle w:val="Style10"/>
                <w:rFonts w:eastAsia="Times New Roman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 xml:space="preserve">Правил землепользования и застройки муниципального образования «Среднесантимирское сельское поселение» Новомалыклинского района Ульяновской области», утвержденные решением Совета депутатов муниципального образования «Среднесантимирское сельское поселение»                         от 30.12.2013 № 5/27 «Об утверждении  Правил землепользования и застройки муниципального образования «Среднесантимирское сельское поселение» Новомалыклинского района Ульяновской области» </w:t>
            </w:r>
            <w:r>
              <w:rPr>
                <w:rStyle w:val="Style10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(последние изменения утверждены Приказом Министерства строительства и архитектуры Ульяновской области от 27.12.2021 № 254-пр) 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ля данной зоны установлены предельные параметры: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минимальные отступы от границ земельного участка - 3 метра.  Объект капитального строительства расположен менее, чем в трёх метрах  от юго-восточной  границы земельного участка, что является отклонением от предельных параметров, возникла необходимость в проведении публичных слушаний.</w:t>
            </w:r>
          </w:p>
        </w:tc>
        <w:tc>
          <w:tcPr>
            <w:tcW w:w="4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  <w:bookmarkStart w:id="1" w:name="__DdeLink__1822_750299606"/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Предложение  целесообразно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4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Захарова Елена Владиславовна</w:t>
            </w:r>
          </w:p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cs="PT Astra Serif" w:ascii="Times New Roman" w:hAnsi="Times New Roman"/>
                <w:sz w:val="22"/>
                <w:szCs w:val="22"/>
              </w:rPr>
              <w:t>с.Новая Малыкла, Советская, д.111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 xml:space="preserve">Предоставить 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ru-RU" w:eastAsia="ru-RU"/>
              </w:rPr>
              <w:t>разрешение на                      отклонение от предельных параметров разрешенного строительства                        объектов капитального строительства                          на земельном   участке с кадастровым номером 73:10:030801:233, расположенного                      по адресу: Новомалыклинский                            район, муниципальное образование «Среднесантимирское сельское поселение», п.Ивановка, ул.Речная, 7, в части                 уменьшения отступа от юго-восточной границы земельного участка с 3 метров до границы земельного участка.</w:t>
            </w:r>
          </w:p>
        </w:tc>
        <w:tc>
          <w:tcPr>
            <w:tcW w:w="4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ConsPlusNonformat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Предложение  целесообразно</w:t>
            </w:r>
          </w:p>
        </w:tc>
      </w:tr>
    </w:tbl>
    <w:p>
      <w:pPr>
        <w:pStyle w:val="ConsPlusNonformat"/>
        <w:jc w:val="both"/>
        <w:rPr/>
      </w:pPr>
      <w:r>
        <w:rPr>
          <w:rFonts w:cs="PT Astra Serif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PT Astra Serif" w:ascii="Times New Roman" w:hAnsi="Times New Roman"/>
          <w:sz w:val="28"/>
          <w:szCs w:val="28"/>
        </w:rPr>
        <w:t xml:space="preserve">  </w:t>
      </w:r>
      <w:r>
        <w:rPr>
          <w:rFonts w:cs="PT Astra Serif" w:ascii="Times New Roman" w:hAnsi="Times New Roman"/>
          <w:sz w:val="28"/>
          <w:szCs w:val="28"/>
        </w:rPr>
        <w:t xml:space="preserve">Рекомендации организатора публичных слушаний:  </w:t>
      </w:r>
      <w:r>
        <w:rPr>
          <w:rFonts w:eastAsia="Times New Roman" w:cs="Times New Roman" w:ascii="Times New Roman" w:hAnsi="Times New Roman"/>
          <w:b w:val="false"/>
          <w:bCs w:val="false"/>
          <w:iCs/>
          <w:sz w:val="28"/>
          <w:szCs w:val="28"/>
          <w:u w:val="single"/>
          <w:lang w:val="ru-RU" w:eastAsia="ru-RU"/>
        </w:rPr>
        <w:t>Предоставить разрешение</w:t>
      </w:r>
      <w:r>
        <w:rPr>
          <w:rFonts w:eastAsia="Times New Roman" w:cs="Times New Roman" w:ascii="Times New Roman" w:hAnsi="Times New Roman"/>
          <w:b w:val="false"/>
          <w:bCs/>
          <w:iCs/>
          <w:sz w:val="28"/>
          <w:szCs w:val="28"/>
          <w:u w:val="single"/>
          <w:lang w:val="ru-RU" w:eastAsia="ru-RU"/>
        </w:rPr>
        <w:t xml:space="preserve">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Cs/>
          <w:color w:val="000000"/>
          <w:sz w:val="28"/>
          <w:szCs w:val="28"/>
          <w:u w:val="single"/>
          <w:lang w:val="ru-RU" w:eastAsia="ru-RU"/>
        </w:rPr>
        <w:t xml:space="preserve">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на отклонение от предельных параметров разрешенного строительства объектов капитального строительства на земельном участке  расположенного  по адресу: Российская  Федерация, Ульяновская область, Новомалыклинский район, муниципальное образование «Среднесантимирское сельское поселение», поселок Ивановка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, улица Речная, 7, в части  уменьшения отступа от юго- восточной границы земельного участка с 3.0 м.  до границы земельного участка                                                                                                                       .  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</w:t>
      </w:r>
      <w:r>
        <w:rPr>
          <w:rStyle w:val="Style13"/>
          <w:rFonts w:eastAsia="PT Astra Serif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                        </w:t>
      </w:r>
      <w:r>
        <w:rPr>
          <w:rFonts w:cs="PT Astra Serif" w:ascii="Times New Roman" w:hAnsi="Times New Roman"/>
          <w:sz w:val="28"/>
          <w:szCs w:val="28"/>
        </w:rPr>
        <w:t xml:space="preserve">  </w:t>
      </w:r>
    </w:p>
    <w:p>
      <w:pPr>
        <w:pStyle w:val="ConsPlusNonformat"/>
        <w:jc w:val="center"/>
        <w:rPr>
          <w:rFonts w:ascii="PT Astra Serif" w:hAnsi="PT Astra Serif" w:cs="PT Astra Serif"/>
        </w:rPr>
      </w:pPr>
      <w:r>
        <w:rPr>
          <w:rFonts w:cs="PT Astra Serif" w:ascii="Times New Roman" w:hAnsi="Times New Roman"/>
        </w:rPr>
        <w:t>(направление проекта на дальнейшее согласование и утверждение либо на направление проекта на доработку)</w:t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Normal"/>
        <w:jc w:val="both"/>
        <w:rPr/>
      </w:pPr>
      <w:r>
        <w:rPr>
          <w:rFonts w:cs="PT Astra Serif" w:ascii="Times New Roman" w:hAnsi="Times New Roman"/>
          <w:sz w:val="28"/>
          <w:szCs w:val="28"/>
          <w:u w:val="single"/>
        </w:rPr>
        <w:t xml:space="preserve">Начальник управления  строительства, архитектуры администрации МО   «Новомалыклинский район                                                          Павлова Н.К. </w:t>
      </w:r>
      <w:r>
        <w:rPr>
          <w:rFonts w:eastAsia="PT Astra Serif" w:cs="PT Astra Serif" w:ascii="Times New Roman" w:hAnsi="Times New Roman"/>
          <w:sz w:val="28"/>
          <w:szCs w:val="28"/>
        </w:rPr>
        <w:t xml:space="preserve"> </w:t>
      </w:r>
      <w:r>
        <w:rPr>
          <w:rFonts w:eastAsia="PT Astra Serif" w:cs="PT Astra Serif" w:ascii="Times New Roman" w:hAnsi="Times New Roman"/>
          <w:sz w:val="20"/>
          <w:szCs w:val="20"/>
        </w:rPr>
        <w:t xml:space="preserve">      </w:t>
      </w:r>
      <w:r>
        <w:rPr>
          <w:rFonts w:cs="PT Astra Serif" w:ascii="Times New Roman" w:hAnsi="Times New Roman"/>
          <w:sz w:val="20"/>
          <w:szCs w:val="20"/>
        </w:rPr>
        <w:t xml:space="preserve">(должность, подпись и расшифровка подписи должностного лица, </w:t>
      </w:r>
      <w:r>
        <w:rPr>
          <w:rFonts w:cs="PT Astra Serif" w:ascii="Times New Roman" w:hAnsi="Times New Roman"/>
          <w:strike w:val="false"/>
          <w:dstrike w:val="false"/>
          <w:sz w:val="20"/>
          <w:szCs w:val="20"/>
          <w:u w:val="none"/>
          <w:effect w:val="none"/>
        </w:rPr>
        <w:t>ответственного за проведение публичных слушаний)</w:t>
      </w:r>
    </w:p>
    <w:sectPr>
      <w:type w:val="nextPage"/>
      <w:pgSz w:w="11906" w:h="16838"/>
      <w:pgMar w:left="1388" w:right="993" w:header="0" w:top="332" w:footer="0" w:bottom="181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YS Text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entury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9"/>
    <w:qFormat/>
    <w:pPr>
      <w:bidi w:val="0"/>
      <w:jc w:val="left"/>
    </w:pPr>
    <w:rPr/>
  </w:style>
  <w:style w:type="paragraph" w:styleId="2">
    <w:name w:val="Heading 2"/>
    <w:basedOn w:val="Style19"/>
    <w:qFormat/>
    <w:pPr/>
    <w:rPr/>
  </w:style>
  <w:style w:type="paragraph" w:styleId="3">
    <w:name w:val="Heading 3"/>
    <w:basedOn w:val="Style19"/>
    <w:qFormat/>
    <w:pPr/>
    <w:rPr/>
  </w:style>
  <w:style w:type="paragraph" w:styleId="4">
    <w:name w:val="Heading 4"/>
    <w:basedOn w:val="Style19"/>
    <w:qFormat/>
    <w:pPr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Основной шрифт абзаца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???????? ????? ??????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YS Text;Arial;Helvetica;sans-serif" w:hAnsi="YS Text;Arial;Helvetica;sans-serif" w:cs="OpenSymbol"/>
      <w:b w:val="false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WW8Num23z0">
    <w:name w:val="WW8Num23z0"/>
    <w:qFormat/>
    <w:rPr>
      <w:rFonts w:ascii="Symbol" w:hAnsi="Symbol" w:eastAsia="Symbol" w:cs="Symbol"/>
      <w:color w:val="000000"/>
      <w:sz w:val="28"/>
      <w:szCs w:val="28"/>
    </w:rPr>
  </w:style>
  <w:style w:type="character" w:styleId="ListLabel28">
    <w:name w:val="ListLabel 28"/>
    <w:qFormat/>
    <w:rPr>
      <w:rFonts w:cs="Symbol"/>
      <w:color w:val="000000"/>
      <w:sz w:val="28"/>
      <w:szCs w:val="28"/>
    </w:rPr>
  </w:style>
  <w:style w:type="character" w:styleId="ListLabel37">
    <w:name w:val="ListLabel 37"/>
    <w:qFormat/>
    <w:rPr>
      <w:rFonts w:ascii="PT Astra Serif" w:hAnsi="PT Astra Serif"/>
      <w:sz w:val="26"/>
      <w:szCs w:val="26"/>
      <w:lang w:val="ru-RU"/>
    </w:rPr>
  </w:style>
  <w:style w:type="character" w:styleId="ListLabel39">
    <w:name w:val="ListLabel 39"/>
    <w:qFormat/>
    <w:rPr>
      <w:rFonts w:ascii="PT Astra Serif" w:hAnsi="PT Astra Serif"/>
      <w:sz w:val="27"/>
      <w:szCs w:val="27"/>
      <w:lang w:val="ru-RU"/>
    </w:rPr>
  </w:style>
  <w:style w:type="character" w:styleId="ListLabel163">
    <w:name w:val="ListLabel 163"/>
    <w:qFormat/>
    <w:rPr>
      <w:rFonts w:ascii="Times New Roman" w:hAnsi="Times New Roman"/>
      <w:b/>
      <w:sz w:val="28"/>
      <w:szCs w:val="28"/>
    </w:rPr>
  </w:style>
  <w:style w:type="character" w:styleId="ListLabel164">
    <w:name w:val="ListLabel 164"/>
    <w:qFormat/>
    <w:rPr>
      <w:b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bidi w:val="0"/>
      <w:spacing w:lineRule="auto" w:line="288" w:before="0" w:after="140"/>
      <w:jc w:val="left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Style27">
    <w:name w:val="Блочная цитата"/>
    <w:basedOn w:val="Normal"/>
    <w:qFormat/>
    <w:pPr/>
    <w:rPr/>
  </w:style>
  <w:style w:type="paragraph" w:styleId="Style28">
    <w:name w:val="Footer"/>
    <w:basedOn w:val="Normal"/>
    <w:pPr/>
    <w:rPr/>
  </w:style>
  <w:style w:type="paragraph" w:styleId="Style29">
    <w:name w:val="Иллюстрация"/>
    <w:basedOn w:val="Style22"/>
    <w:qFormat/>
    <w:pPr/>
    <w:rPr/>
  </w:style>
  <w:style w:type="paragraph" w:styleId="Style30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1719</TotalTime>
  <Application>LibreOffice/5.2.1.2$Windows_x86 LibreOffice_project/31dd62db80d4e60af04904455ec9c9219178d620</Application>
  <Pages>3</Pages>
  <Words>557</Words>
  <Characters>4526</Characters>
  <CharactersWithSpaces>6203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2017-04-24T11:55:47Z</dcterms:created>
  <dc:creator/>
  <dc:description/>
  <dc:language>ru-RU</dc:language>
  <cp:lastModifiedBy/>
  <cp:lastPrinted>2023-08-08T15:12:13Z</cp:lastPrinted>
  <dcterms:modified xsi:type="dcterms:W3CDTF">2025-04-10T13:53:16Z</dcterms:modified>
  <cp:revision>159</cp:revision>
  <dc:subject/>
  <dc:title/>
</cp:coreProperties>
</file>