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71C35B7" w14:textId="308D11A5" w:rsidR="0049245E" w:rsidRPr="0049245E" w:rsidRDefault="0049245E" w:rsidP="00FF1925">
      <w:pPr>
        <w:ind w:firstLine="709"/>
        <w:jc w:val="both"/>
        <w:rPr>
          <w:u w:val="single"/>
        </w:rPr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Pr="0049245E">
        <w:rPr>
          <w:u w:val="single"/>
        </w:rPr>
        <w:t>постановление администрации муниципального образования «Новомалыклинский район» Ульяновской области «</w:t>
      </w:r>
      <w:r w:rsidR="004578D6" w:rsidRPr="004578D6">
        <w:rPr>
          <w:u w:val="single"/>
        </w:rPr>
        <w:t>«Об утверждении схемы размещения рекламных конструкций на территории муниципального образования «Новомалыклинский район</w:t>
      </w:r>
      <w:r w:rsidR="00543657" w:rsidRPr="004578D6">
        <w:rPr>
          <w:u w:val="single"/>
        </w:rPr>
        <w:t>»»</w:t>
      </w:r>
      <w:r w:rsidR="00543657" w:rsidRPr="0049245E">
        <w:rPr>
          <w:u w:val="single"/>
        </w:rPr>
        <w:t xml:space="preserve"> _</w:t>
      </w:r>
      <w:r w:rsidRPr="0049245E">
        <w:rPr>
          <w:u w:val="single"/>
        </w:rPr>
        <w:t>___</w:t>
      </w:r>
      <w:r w:rsidR="00494C84">
        <w:rPr>
          <w:u w:val="single"/>
        </w:rPr>
        <w:t>____________</w:t>
      </w:r>
      <w:r w:rsidRPr="0049245E">
        <w:rPr>
          <w:u w:val="single"/>
        </w:rPr>
        <w:t>___________</w:t>
      </w:r>
      <w:r w:rsidR="004578D6">
        <w:rPr>
          <w:u w:val="single"/>
        </w:rPr>
        <w:t>______________</w:t>
      </w:r>
    </w:p>
    <w:p w14:paraId="0DEC165A" w14:textId="5C14054D" w:rsidR="0049245E" w:rsidRPr="0049245E" w:rsidRDefault="0049245E" w:rsidP="0049245E">
      <w:pPr>
        <w:ind w:firstLine="708"/>
      </w:pPr>
    </w:p>
    <w:p w14:paraId="35223CC8" w14:textId="33E20798" w:rsidR="0049245E" w:rsidRPr="00980595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E4643E">
        <w:rPr>
          <w:u w:val="single"/>
        </w:rPr>
        <w:t>2</w:t>
      </w:r>
      <w:r w:rsidR="004578D6">
        <w:rPr>
          <w:u w:val="single"/>
        </w:rPr>
        <w:t>0</w:t>
      </w:r>
      <w:r w:rsidR="00FF1925" w:rsidRPr="00980595">
        <w:rPr>
          <w:u w:val="single"/>
        </w:rPr>
        <w:t>.0</w:t>
      </w:r>
      <w:r w:rsidR="004578D6">
        <w:rPr>
          <w:u w:val="single"/>
        </w:rPr>
        <w:t>7</w:t>
      </w:r>
      <w:r w:rsidR="00FF1925" w:rsidRPr="00980595">
        <w:rPr>
          <w:u w:val="single"/>
        </w:rPr>
        <w:t>.20</w:t>
      </w:r>
      <w:r w:rsidR="004578D6">
        <w:rPr>
          <w:u w:val="single"/>
        </w:rPr>
        <w:t>20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 xml:space="preserve"> по </w:t>
      </w:r>
      <w:r w:rsidR="004578D6">
        <w:rPr>
          <w:u w:val="single"/>
        </w:rPr>
        <w:t>20</w:t>
      </w:r>
      <w:r w:rsidR="00FF1925" w:rsidRPr="00980595">
        <w:rPr>
          <w:u w:val="single"/>
        </w:rPr>
        <w:t>.0</w:t>
      </w:r>
      <w:r w:rsidR="004578D6">
        <w:rPr>
          <w:u w:val="single"/>
        </w:rPr>
        <w:t>8</w:t>
      </w:r>
      <w:r w:rsidR="00FF1925" w:rsidRPr="00980595">
        <w:rPr>
          <w:u w:val="single"/>
        </w:rPr>
        <w:t>.20</w:t>
      </w:r>
      <w:r w:rsidR="004578D6">
        <w:rPr>
          <w:u w:val="single"/>
        </w:rPr>
        <w:t>20</w:t>
      </w:r>
      <w:r w:rsidR="00FF1925" w:rsidRPr="00980595">
        <w:rPr>
          <w:u w:val="single"/>
        </w:rPr>
        <w:t>г.</w:t>
      </w:r>
    </w:p>
    <w:p w14:paraId="1837F21A" w14:textId="03C8C596" w:rsidR="0049245E" w:rsidRPr="0049245E" w:rsidRDefault="0049245E" w:rsidP="0049245E">
      <w:pPr>
        <w:ind w:firstLine="708"/>
        <w:jc w:val="both"/>
      </w:pPr>
      <w:r w:rsidRPr="0049245E">
        <w:t xml:space="preserve">Количество экспертов, участвовавших в обсуждении: </w:t>
      </w:r>
      <w:r w:rsidR="00543657">
        <w:t>5</w:t>
      </w:r>
      <w:r w:rsidRPr="0049245E">
        <w:t>.</w:t>
      </w:r>
    </w:p>
    <w:tbl>
      <w:tblPr>
        <w:tblW w:w="91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1418"/>
        <w:gridCol w:w="1418"/>
        <w:gridCol w:w="3260"/>
        <w:gridCol w:w="1417"/>
        <w:gridCol w:w="1220"/>
      </w:tblGrid>
      <w:tr w:rsidR="0049245E" w:rsidRPr="0016594F" w14:paraId="41FF34F9" w14:textId="77777777" w:rsidTr="002B5D4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2B5D40" w:rsidRDefault="0049245E" w:rsidP="00FF1925">
            <w:pPr>
              <w:ind w:left="-83" w:right="-102"/>
              <w:jc w:val="center"/>
              <w:rPr>
                <w:b/>
                <w:sz w:val="18"/>
                <w:szCs w:val="18"/>
              </w:rPr>
            </w:pPr>
            <w:r w:rsidRPr="002B5D40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2B5D40" w:rsidRDefault="0049245E" w:rsidP="00FF1925">
            <w:pPr>
              <w:ind w:left="-83" w:right="-102"/>
              <w:jc w:val="center"/>
              <w:rPr>
                <w:b/>
                <w:sz w:val="18"/>
                <w:szCs w:val="18"/>
              </w:rPr>
            </w:pPr>
            <w:r w:rsidRPr="002B5D40">
              <w:rPr>
                <w:b/>
                <w:sz w:val="18"/>
                <w:szCs w:val="18"/>
              </w:rPr>
              <w:t>Участник обсуждения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2B5D40" w:rsidRDefault="0049245E" w:rsidP="00FF1925">
            <w:pPr>
              <w:ind w:left="-83" w:right="-102"/>
              <w:jc w:val="center"/>
              <w:rPr>
                <w:b/>
                <w:sz w:val="18"/>
                <w:szCs w:val="18"/>
              </w:rPr>
            </w:pPr>
            <w:r w:rsidRPr="002B5D40">
              <w:rPr>
                <w:b/>
                <w:sz w:val="18"/>
                <w:szCs w:val="18"/>
              </w:rPr>
              <w:t>Вопрос для обсуждения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2B5D40" w:rsidRDefault="0049245E" w:rsidP="00FF1925">
            <w:pPr>
              <w:ind w:left="-83" w:right="-102"/>
              <w:jc w:val="center"/>
              <w:rPr>
                <w:b/>
                <w:sz w:val="18"/>
                <w:szCs w:val="18"/>
              </w:rPr>
            </w:pPr>
            <w:r w:rsidRPr="002B5D40">
              <w:rPr>
                <w:b/>
                <w:sz w:val="18"/>
                <w:szCs w:val="18"/>
              </w:rPr>
              <w:t>Предложение участника обсуждения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8DF8C0" w14:textId="77777777" w:rsidR="0049245E" w:rsidRPr="002B5D40" w:rsidRDefault="0049245E" w:rsidP="00FF1925">
            <w:pPr>
              <w:ind w:left="-83" w:right="-102"/>
              <w:jc w:val="center"/>
              <w:rPr>
                <w:b/>
                <w:sz w:val="18"/>
                <w:szCs w:val="18"/>
              </w:rPr>
            </w:pPr>
            <w:r w:rsidRPr="002B5D40">
              <w:rPr>
                <w:b/>
                <w:sz w:val="18"/>
                <w:szCs w:val="18"/>
              </w:rPr>
              <w:t>Результат рассмотрения предложения разработчиком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2B5D40" w:rsidRDefault="0049245E" w:rsidP="00FF1925">
            <w:pPr>
              <w:ind w:left="-83" w:right="-102"/>
              <w:jc w:val="center"/>
              <w:rPr>
                <w:sz w:val="18"/>
                <w:szCs w:val="18"/>
              </w:rPr>
            </w:pPr>
            <w:r w:rsidRPr="002B5D40">
              <w:rPr>
                <w:b/>
                <w:sz w:val="18"/>
                <w:szCs w:val="18"/>
              </w:rPr>
              <w:t>Комментарий разработчика</w:t>
            </w:r>
          </w:p>
        </w:tc>
      </w:tr>
      <w:tr w:rsidR="00543657" w:rsidRPr="0016594F" w14:paraId="5DBB1EAE" w14:textId="77777777" w:rsidTr="002B5D4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543657" w:rsidRPr="0016594F" w:rsidRDefault="00543657" w:rsidP="00FF1925">
            <w:pPr>
              <w:ind w:left="-83" w:right="-102"/>
              <w:rPr>
                <w:i/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543657" w:rsidRPr="0016594F" w:rsidRDefault="00543657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543657" w:rsidRPr="0016594F" w:rsidRDefault="00543657" w:rsidP="00FF1925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C871F" w14:textId="77777777" w:rsidR="00543657" w:rsidRDefault="002A6F96" w:rsidP="0016594F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2A6F96"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43657" w:rsidRPr="0016594F">
              <w:rPr>
                <w:sz w:val="20"/>
                <w:szCs w:val="20"/>
              </w:rPr>
              <w:t>В пункте 4. Типы и виды рекламных конструкций добавить описание «Панели кронштейн»</w:t>
            </w:r>
            <w:r>
              <w:rPr>
                <w:sz w:val="20"/>
                <w:szCs w:val="20"/>
              </w:rPr>
              <w:t>;</w:t>
            </w:r>
          </w:p>
          <w:p w14:paraId="12BF00A6" w14:textId="3BF0C720" w:rsidR="002A6F96" w:rsidRPr="002A6F96" w:rsidRDefault="002A6F96" w:rsidP="0016594F">
            <w:pPr>
              <w:snapToGrid w:val="0"/>
              <w:ind w:left="-83" w:right="-102"/>
              <w:jc w:val="both"/>
              <w:rPr>
                <w:b/>
                <w:bCs/>
                <w:sz w:val="20"/>
                <w:szCs w:val="20"/>
              </w:rPr>
            </w:pPr>
            <w:r w:rsidRPr="002A6F96">
              <w:rPr>
                <w:b/>
                <w:bCs/>
                <w:sz w:val="20"/>
                <w:szCs w:val="20"/>
              </w:rPr>
              <w:t>2.</w:t>
            </w:r>
            <w:r>
              <w:t xml:space="preserve"> </w:t>
            </w:r>
            <w:r w:rsidRPr="002A6F96">
              <w:rPr>
                <w:sz w:val="20"/>
                <w:szCs w:val="20"/>
              </w:rPr>
              <w:t xml:space="preserve">В постановлении имеются указания на недействующие </w:t>
            </w:r>
            <w:proofErr w:type="spellStart"/>
            <w:r w:rsidRPr="002A6F96">
              <w:rPr>
                <w:sz w:val="20"/>
                <w:szCs w:val="20"/>
              </w:rPr>
              <w:t>СНипы</w:t>
            </w:r>
            <w:proofErr w:type="spellEnd"/>
            <w:r w:rsidRPr="002A6F96">
              <w:rPr>
                <w:sz w:val="20"/>
                <w:szCs w:val="20"/>
              </w:rPr>
              <w:t>, Своды правил и постановление, утратившее силу.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88A57" w14:textId="7059CA72" w:rsidR="00543657" w:rsidRPr="0016594F" w:rsidRDefault="00543657" w:rsidP="00543657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Принять во внимание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543657" w:rsidRPr="0016594F" w:rsidRDefault="00543657" w:rsidP="00FF1925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543657" w:rsidRPr="0016594F" w14:paraId="4ACFDECB" w14:textId="77777777" w:rsidTr="002B5D4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4BE4C2C0" w:rsidR="00543657" w:rsidRPr="0016594F" w:rsidRDefault="00543657" w:rsidP="001C1982">
            <w:pPr>
              <w:ind w:left="-83" w:right="-102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29347ED" w:rsidR="00543657" w:rsidRPr="0016594F" w:rsidRDefault="00543657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8F2F19" w14:textId="77777777" w:rsidR="00543657" w:rsidRDefault="002A6F96" w:rsidP="002A6F96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2A6F96">
              <w:rPr>
                <w:b/>
                <w:bCs/>
                <w:sz w:val="20"/>
                <w:szCs w:val="20"/>
              </w:rPr>
              <w:t>1.</w:t>
            </w:r>
            <w:r w:rsidRPr="002A6F96">
              <w:rPr>
                <w:sz w:val="20"/>
                <w:szCs w:val="20"/>
              </w:rPr>
              <w:t xml:space="preserve"> В постановление два пункта под номерами 2.</w:t>
            </w:r>
          </w:p>
          <w:p w14:paraId="10AA49FF" w14:textId="69349B25" w:rsidR="002A6F96" w:rsidRPr="002A6F96" w:rsidRDefault="002A6F96" w:rsidP="002A6F96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2A6F96"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В постановлении нет указания на утверждение правил установки и эксплуатации рекламных конструкций, однако в приложении № 1 имеется ссылка на правила.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568E4" w14:textId="77777777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543657" w:rsidRPr="0016594F" w14:paraId="46EFEF1E" w14:textId="77777777" w:rsidTr="002B5D4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6078B318" w:rsidR="00543657" w:rsidRPr="0016594F" w:rsidRDefault="00543657" w:rsidP="001C1982">
            <w:pPr>
              <w:ind w:left="-83" w:right="-102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543657" w:rsidRPr="0016594F" w:rsidRDefault="00543657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9FCA0" w14:textId="751FEE52" w:rsidR="00543657" w:rsidRPr="0016594F" w:rsidRDefault="00195918" w:rsidP="00195918">
            <w:pPr>
              <w:snapToGrid w:val="0"/>
              <w:ind w:left="-83" w:right="-102"/>
              <w:jc w:val="both"/>
              <w:rPr>
                <w:color w:val="FF0000"/>
                <w:sz w:val="20"/>
                <w:szCs w:val="20"/>
              </w:rPr>
            </w:pPr>
            <w:r w:rsidRPr="00195918">
              <w:rPr>
                <w:sz w:val="20"/>
                <w:szCs w:val="20"/>
              </w:rPr>
              <w:t>В представленном в приложении 2 к постановлению адресном</w:t>
            </w:r>
            <w:r w:rsidRPr="00195918">
              <w:t xml:space="preserve"> </w:t>
            </w:r>
            <w:r w:rsidRPr="00195918">
              <w:rPr>
                <w:sz w:val="20"/>
                <w:szCs w:val="20"/>
              </w:rPr>
              <w:t>перечне расположения рекламных конструкций на территории муниципального образования «</w:t>
            </w:r>
            <w:r>
              <w:rPr>
                <w:sz w:val="20"/>
                <w:szCs w:val="20"/>
              </w:rPr>
              <w:t>Н</w:t>
            </w:r>
            <w:r w:rsidRPr="00195918">
              <w:rPr>
                <w:sz w:val="20"/>
                <w:szCs w:val="20"/>
              </w:rPr>
              <w:t xml:space="preserve">овомалыклинский район» </w:t>
            </w:r>
            <w:r>
              <w:rPr>
                <w:sz w:val="20"/>
                <w:szCs w:val="20"/>
              </w:rPr>
              <w:t>У</w:t>
            </w:r>
            <w:r w:rsidRPr="00195918">
              <w:rPr>
                <w:sz w:val="20"/>
                <w:szCs w:val="20"/>
              </w:rPr>
              <w:t>льяновской области име</w:t>
            </w:r>
            <w:r>
              <w:rPr>
                <w:sz w:val="20"/>
                <w:szCs w:val="20"/>
              </w:rPr>
              <w:t>ются указания на планируемые информационные указатели. Все указатели имеют одинаковую площадь рекламного поля, но разное количество указываемых объектов</w:t>
            </w:r>
            <w:r w:rsidR="002B5D40">
              <w:rPr>
                <w:sz w:val="20"/>
                <w:szCs w:val="20"/>
              </w:rPr>
              <w:t>, получается на некоторых указателях шрифт можно будет увеличить, а на тех, что несколько организаций указывается шрифт будет меньше. Не будет ли данный фактор являться ограничение конкуренции.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D7012" w14:textId="77777777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543657" w:rsidRPr="0016594F" w14:paraId="6A5E35AD" w14:textId="77777777" w:rsidTr="002B5D4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490A3396" w:rsidR="00543657" w:rsidRPr="0016594F" w:rsidRDefault="00543657" w:rsidP="001C1982">
            <w:pPr>
              <w:ind w:left="-83" w:right="-102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2201B6C4" w:rsidR="00543657" w:rsidRPr="0016594F" w:rsidRDefault="00543657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EF60B" w14:textId="77777777" w:rsidR="0016594F" w:rsidRDefault="0016594F" w:rsidP="0016594F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43657" w:rsidRPr="0016594F">
              <w:rPr>
                <w:sz w:val="20"/>
                <w:szCs w:val="20"/>
              </w:rPr>
              <w:t xml:space="preserve">В постановлении имеются ссылки </w:t>
            </w:r>
            <w:r w:rsidRPr="0016594F">
              <w:rPr>
                <w:sz w:val="20"/>
                <w:szCs w:val="20"/>
              </w:rPr>
              <w:t>на Федеральные законы с указанием редакций и изменений, которые не последние на текущую дату.</w:t>
            </w:r>
          </w:p>
          <w:p w14:paraId="54F7C172" w14:textId="23B0094E" w:rsidR="00543657" w:rsidRPr="0016594F" w:rsidRDefault="0016594F" w:rsidP="0016594F">
            <w:pPr>
              <w:snapToGrid w:val="0"/>
              <w:ind w:left="-83" w:right="-102"/>
              <w:jc w:val="both"/>
              <w:rPr>
                <w:color w:val="FF0000"/>
                <w:sz w:val="20"/>
                <w:szCs w:val="20"/>
              </w:rPr>
            </w:pPr>
            <w:r w:rsidRPr="0016594F">
              <w:rPr>
                <w:b/>
                <w:bCs/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 xml:space="preserve">В постановлении имеются указания на </w:t>
            </w:r>
            <w:r w:rsidR="002A6F96">
              <w:rPr>
                <w:sz w:val="20"/>
                <w:szCs w:val="20"/>
              </w:rPr>
              <w:t xml:space="preserve">недействующие </w:t>
            </w:r>
            <w:proofErr w:type="spellStart"/>
            <w:r w:rsidR="00853AED">
              <w:rPr>
                <w:sz w:val="20"/>
                <w:szCs w:val="20"/>
              </w:rPr>
              <w:t>СНипы</w:t>
            </w:r>
            <w:proofErr w:type="spellEnd"/>
            <w:r w:rsidR="00853AED">
              <w:rPr>
                <w:sz w:val="20"/>
                <w:szCs w:val="20"/>
              </w:rPr>
              <w:t xml:space="preserve"> (</w:t>
            </w:r>
            <w:proofErr w:type="spellStart"/>
            <w:r w:rsidR="002A6F96">
              <w:rPr>
                <w:sz w:val="20"/>
                <w:szCs w:val="20"/>
              </w:rPr>
              <w:t>СНип</w:t>
            </w:r>
            <w:proofErr w:type="spellEnd"/>
            <w:r w:rsidR="002A6F96">
              <w:rPr>
                <w:sz w:val="20"/>
                <w:szCs w:val="20"/>
              </w:rPr>
              <w:t xml:space="preserve"> 11-04-2003, СНиП 2.07.01-89)</w:t>
            </w:r>
            <w:r>
              <w:rPr>
                <w:sz w:val="20"/>
                <w:szCs w:val="20"/>
              </w:rPr>
              <w:t>, Свод правил</w:t>
            </w:r>
            <w:r w:rsidR="00EA6116">
              <w:rPr>
                <w:sz w:val="20"/>
                <w:szCs w:val="20"/>
              </w:rPr>
              <w:t xml:space="preserve"> 52.13330.2011 </w:t>
            </w:r>
            <w:r>
              <w:rPr>
                <w:sz w:val="20"/>
                <w:szCs w:val="20"/>
              </w:rPr>
              <w:t xml:space="preserve">и </w:t>
            </w:r>
            <w:r w:rsidR="002A6F96">
              <w:rPr>
                <w:sz w:val="20"/>
                <w:szCs w:val="20"/>
              </w:rPr>
              <w:t>постановление</w:t>
            </w:r>
            <w:r w:rsidR="00EA6116">
              <w:rPr>
                <w:sz w:val="20"/>
                <w:szCs w:val="20"/>
              </w:rPr>
              <w:t xml:space="preserve"> Правительства РФ № 315 от 26.04.2008</w:t>
            </w:r>
            <w:r w:rsidR="002A6F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утратившее силу.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51552" w14:textId="77777777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543657" w:rsidRPr="0016594F" w14:paraId="5D95478A" w14:textId="77777777" w:rsidTr="002B5D4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23CDD504" w:rsidR="00543657" w:rsidRPr="0016594F" w:rsidRDefault="00543657" w:rsidP="001C1982">
            <w:pPr>
              <w:ind w:left="-83" w:right="-102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543657" w:rsidRPr="0016594F" w:rsidRDefault="00543657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t xml:space="preserve">Рабочая группа по внедрению Стандарта </w:t>
            </w:r>
            <w:r w:rsidRPr="0016594F">
              <w:rPr>
                <w:sz w:val="20"/>
                <w:szCs w:val="20"/>
              </w:rPr>
              <w:lastRenderedPageBreak/>
              <w:t>развития конкуренции в муниципальном образовании «Новомалыклинский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16594F">
              <w:rPr>
                <w:sz w:val="20"/>
                <w:szCs w:val="20"/>
              </w:rPr>
              <w:lastRenderedPageBreak/>
              <w:t>Проект постановления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8B0F0" w14:textId="748A2837" w:rsidR="00A935AD" w:rsidRPr="002A6F96" w:rsidRDefault="002A6F96" w:rsidP="00195918">
            <w:pPr>
              <w:snapToGrid w:val="0"/>
              <w:ind w:left="-83" w:right="-102"/>
              <w:jc w:val="both"/>
              <w:rPr>
                <w:color w:val="FF0000"/>
                <w:sz w:val="20"/>
                <w:szCs w:val="20"/>
              </w:rPr>
            </w:pPr>
            <w:r w:rsidRPr="002A6F96">
              <w:rPr>
                <w:sz w:val="20"/>
                <w:szCs w:val="20"/>
              </w:rPr>
              <w:t xml:space="preserve">В приложении 2 (Адресный перечень расположения рекламных конструкций на территории </w:t>
            </w:r>
            <w:r w:rsidRPr="002A6F96">
              <w:rPr>
                <w:sz w:val="20"/>
                <w:szCs w:val="20"/>
              </w:rPr>
              <w:lastRenderedPageBreak/>
              <w:t>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A6F96">
              <w:rPr>
                <w:sz w:val="20"/>
                <w:szCs w:val="20"/>
              </w:rPr>
              <w:t>«Новомалыклинский район» Ульяновской области)</w:t>
            </w:r>
            <w:r w:rsidR="00EA6116">
              <w:rPr>
                <w:sz w:val="20"/>
                <w:szCs w:val="20"/>
              </w:rPr>
              <w:t xml:space="preserve"> включены информационные указатели не содержащие информации направленн</w:t>
            </w:r>
            <w:r w:rsidR="00A935AD">
              <w:rPr>
                <w:sz w:val="20"/>
                <w:szCs w:val="20"/>
              </w:rPr>
              <w:t>ой</w:t>
            </w:r>
            <w:r w:rsidR="00EA6116">
              <w:rPr>
                <w:sz w:val="20"/>
                <w:szCs w:val="20"/>
              </w:rPr>
              <w:t xml:space="preserve"> на привлечение внимания к объекту рекламирования, формирование или поддержание интереса к нему и его продвижение на рынке.</w:t>
            </w:r>
            <w:r w:rsidR="00A935AD">
              <w:rPr>
                <w:sz w:val="20"/>
                <w:szCs w:val="20"/>
              </w:rPr>
              <w:t xml:space="preserve"> В соответствии с частью</w:t>
            </w:r>
            <w:r w:rsidR="00A935AD" w:rsidRPr="00A935AD">
              <w:rPr>
                <w:sz w:val="20"/>
                <w:szCs w:val="20"/>
              </w:rPr>
              <w:t xml:space="preserve"> 3 статьи 19 Федерального закона "О рекламе" закрепляет</w:t>
            </w:r>
            <w:r w:rsidR="00A935AD">
              <w:rPr>
                <w:sz w:val="20"/>
                <w:szCs w:val="20"/>
              </w:rPr>
              <w:t>ся</w:t>
            </w:r>
            <w:r w:rsidR="00A935AD" w:rsidRPr="00A935AD">
              <w:rPr>
                <w:sz w:val="20"/>
                <w:szCs w:val="20"/>
              </w:rPr>
              <w:t xml:space="preserve"> положение о запрете распространения рекламы на знаке дорожного движения, его опоре или любом ином приспособлении, предназначенном для регулирования дорожного движения.</w:t>
            </w:r>
            <w:r w:rsidR="00A935AD">
              <w:rPr>
                <w:sz w:val="20"/>
                <w:szCs w:val="20"/>
              </w:rPr>
              <w:t xml:space="preserve"> Информационные указатели, обозначенные в приложении 2 к постановлению не содержат информации рекламного характера, в силу отсутствия объекта рекламирования и не подпадают под понятие рекламы, указание исключительно на профиль деятельности организации – например, «Детский сад», «Аптека», «Магазин», «МФЦ», «Пункт полиции» и другие (то есть без указания обозначения, индивидуализирующего данную организацию, - наименование, товарного знака), в том числе с указанием </w:t>
            </w:r>
            <w:r w:rsidR="00605558">
              <w:rPr>
                <w:sz w:val="20"/>
                <w:szCs w:val="20"/>
              </w:rPr>
              <w:t>направления движения к данным объектам. Соответственно, такая информации может размещаться на опорах знаков дорожного движения и не подпадает под регулирование Федерального закона «О рекламе». Поэтому включение информационн</w:t>
            </w:r>
            <w:r w:rsidR="00195918">
              <w:rPr>
                <w:sz w:val="20"/>
                <w:szCs w:val="20"/>
              </w:rPr>
              <w:t>ых</w:t>
            </w:r>
            <w:r w:rsidR="00605558">
              <w:rPr>
                <w:sz w:val="20"/>
                <w:szCs w:val="20"/>
              </w:rPr>
              <w:t xml:space="preserve"> указател</w:t>
            </w:r>
            <w:r w:rsidR="00195918">
              <w:rPr>
                <w:sz w:val="20"/>
                <w:szCs w:val="20"/>
              </w:rPr>
              <w:t>ей, не несущих информацию рекламного характера,</w:t>
            </w:r>
            <w:r w:rsidR="00605558">
              <w:rPr>
                <w:sz w:val="20"/>
                <w:szCs w:val="20"/>
              </w:rPr>
              <w:t xml:space="preserve"> в адресный перечень </w:t>
            </w:r>
            <w:r w:rsidR="00605558" w:rsidRPr="00605558">
              <w:rPr>
                <w:sz w:val="20"/>
                <w:szCs w:val="20"/>
              </w:rPr>
              <w:t>расположения рекламных конструкций на территории муниципального образования «</w:t>
            </w:r>
            <w:r w:rsidR="00605558">
              <w:rPr>
                <w:sz w:val="20"/>
                <w:szCs w:val="20"/>
              </w:rPr>
              <w:t>Н</w:t>
            </w:r>
            <w:r w:rsidR="00605558" w:rsidRPr="00605558">
              <w:rPr>
                <w:sz w:val="20"/>
                <w:szCs w:val="20"/>
              </w:rPr>
              <w:t xml:space="preserve">овомалыклинский район» </w:t>
            </w:r>
            <w:r w:rsidR="00195918">
              <w:rPr>
                <w:sz w:val="20"/>
                <w:szCs w:val="20"/>
              </w:rPr>
              <w:t>У</w:t>
            </w:r>
            <w:r w:rsidR="00605558" w:rsidRPr="00605558">
              <w:rPr>
                <w:sz w:val="20"/>
                <w:szCs w:val="20"/>
              </w:rPr>
              <w:t>льяновской области</w:t>
            </w:r>
            <w:r w:rsidR="00605558">
              <w:rPr>
                <w:sz w:val="20"/>
                <w:szCs w:val="20"/>
              </w:rPr>
              <w:t xml:space="preserve"> </w:t>
            </w:r>
            <w:r w:rsidR="00195918">
              <w:rPr>
                <w:sz w:val="20"/>
                <w:szCs w:val="20"/>
              </w:rPr>
              <w:t>считаем не целесообразным.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BEDA" w14:textId="77777777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543657" w:rsidRPr="0016594F" w:rsidRDefault="00543657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</w:tbl>
    <w:p w14:paraId="50CF3400" w14:textId="77777777" w:rsidR="0049245E" w:rsidRDefault="0049245E" w:rsidP="0049245E"/>
    <w:p w14:paraId="380AC170" w14:textId="77777777" w:rsidR="0049245E" w:rsidRDefault="0049245E" w:rsidP="0049245E">
      <w:pPr>
        <w:autoSpaceDE w:val="0"/>
        <w:jc w:val="both"/>
        <w:rPr>
          <w:color w:val="000000"/>
          <w:sz w:val="28"/>
        </w:rPr>
      </w:pPr>
    </w:p>
    <w:p w14:paraId="0FABAC93" w14:textId="77777777" w:rsidR="0049245E" w:rsidRDefault="0049245E" w:rsidP="0049245E">
      <w:pPr>
        <w:autoSpaceDE w:val="0"/>
        <w:ind w:left="5040"/>
        <w:jc w:val="center"/>
        <w:rPr>
          <w:color w:val="000000"/>
          <w:sz w:val="28"/>
        </w:rPr>
      </w:pPr>
    </w:p>
    <w:p w14:paraId="15939AD4" w14:textId="11A89866" w:rsidR="0049245E" w:rsidRPr="0049245E" w:rsidRDefault="0049245E" w:rsidP="0049245E"/>
    <w:sectPr w:rsidR="0049245E" w:rsidRPr="004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16594F"/>
    <w:rsid w:val="00195918"/>
    <w:rsid w:val="001C1982"/>
    <w:rsid w:val="002A6F96"/>
    <w:rsid w:val="002B5D40"/>
    <w:rsid w:val="004578D6"/>
    <w:rsid w:val="0049245E"/>
    <w:rsid w:val="00494C84"/>
    <w:rsid w:val="00543657"/>
    <w:rsid w:val="00563597"/>
    <w:rsid w:val="00577FE0"/>
    <w:rsid w:val="00605558"/>
    <w:rsid w:val="00853AED"/>
    <w:rsid w:val="00980595"/>
    <w:rsid w:val="00A935AD"/>
    <w:rsid w:val="00E4643E"/>
    <w:rsid w:val="00EA6116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9</cp:revision>
  <dcterms:created xsi:type="dcterms:W3CDTF">2018-11-19T04:57:00Z</dcterms:created>
  <dcterms:modified xsi:type="dcterms:W3CDTF">2020-12-22T07:21:00Z</dcterms:modified>
</cp:coreProperties>
</file>