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71C35B7" w14:textId="6D3CDB9B" w:rsidR="0049245E" w:rsidRPr="0049245E" w:rsidRDefault="0049245E" w:rsidP="00FF1925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Pr="0049245E">
        <w:rPr>
          <w:u w:val="single"/>
        </w:rPr>
        <w:t xml:space="preserve">постановление администрации муниципального образования «Новомалыклинский район» Ульяновской области </w:t>
      </w:r>
      <w:r w:rsidR="00864C16" w:rsidRPr="00864C16">
        <w:rPr>
          <w:u w:val="single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</w:r>
      <w:r w:rsidRPr="0049245E">
        <w:rPr>
          <w:u w:val="single"/>
        </w:rPr>
        <w:t>__</w:t>
      </w:r>
      <w:r w:rsidR="00494C84">
        <w:rPr>
          <w:u w:val="single"/>
        </w:rPr>
        <w:t>____________</w:t>
      </w:r>
      <w:r w:rsidRPr="0049245E">
        <w:rPr>
          <w:u w:val="single"/>
        </w:rPr>
        <w:t>___________</w:t>
      </w:r>
    </w:p>
    <w:p w14:paraId="0DEC165A" w14:textId="5C14054D" w:rsidR="0049245E" w:rsidRPr="0049245E" w:rsidRDefault="0049245E" w:rsidP="0049245E">
      <w:pPr>
        <w:ind w:firstLine="708"/>
      </w:pPr>
    </w:p>
    <w:p w14:paraId="35223CC8" w14:textId="29B01927" w:rsidR="0049245E" w:rsidRPr="00980595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E4643E">
        <w:rPr>
          <w:u w:val="single"/>
        </w:rPr>
        <w:t>2</w:t>
      </w:r>
      <w:r w:rsidR="00864C16">
        <w:rPr>
          <w:u w:val="single"/>
        </w:rPr>
        <w:t>0</w:t>
      </w:r>
      <w:r w:rsidR="00FF1925" w:rsidRPr="00980595">
        <w:rPr>
          <w:u w:val="single"/>
        </w:rPr>
        <w:t>.0</w:t>
      </w:r>
      <w:r w:rsidR="00E4643E">
        <w:rPr>
          <w:u w:val="single"/>
        </w:rPr>
        <w:t>3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20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864C16">
        <w:rPr>
          <w:u w:val="single"/>
        </w:rPr>
        <w:t>21</w:t>
      </w:r>
      <w:r w:rsidR="00FF1925" w:rsidRPr="00980595">
        <w:rPr>
          <w:u w:val="single"/>
        </w:rPr>
        <w:t>.0</w:t>
      </w:r>
      <w:r w:rsidR="00E4643E">
        <w:rPr>
          <w:u w:val="single"/>
        </w:rPr>
        <w:t>4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20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1837F21A" w14:textId="308E17E0" w:rsidR="0049245E" w:rsidRP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D04434">
        <w:rPr>
          <w:u w:val="single"/>
        </w:rPr>
        <w:t>5</w:t>
      </w:r>
      <w:r w:rsidRPr="0049245E">
        <w:t>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1503"/>
        <w:gridCol w:w="1418"/>
        <w:gridCol w:w="1868"/>
        <w:gridCol w:w="1590"/>
      </w:tblGrid>
      <w:tr w:rsidR="0049245E" w:rsidRPr="00FF1925" w14:paraId="41FF34F9" w14:textId="77777777" w:rsidTr="00FF192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Вопрос для обсуждения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Результат рассмотрения предложения разработчиком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FF1925" w:rsidRDefault="0049245E" w:rsidP="00FF1925">
            <w:pPr>
              <w:ind w:left="-83" w:right="-102"/>
              <w:jc w:val="center"/>
              <w:rPr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Комментарий разработчика</w:t>
            </w:r>
          </w:p>
        </w:tc>
      </w:tr>
      <w:tr w:rsidR="001C1982" w:rsidRPr="00FF1925" w14:paraId="5DBB1EA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FF1925" w:rsidRDefault="001C1982" w:rsidP="00FF1925">
            <w:pPr>
              <w:ind w:left="-83" w:right="-102"/>
              <w:rPr>
                <w:i/>
                <w:sz w:val="22"/>
                <w:szCs w:val="22"/>
              </w:rPr>
            </w:pPr>
            <w:r w:rsidRPr="00FF192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102E02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6ADB29C9" w:rsidR="001C1982" w:rsidRPr="00FF1925" w:rsidRDefault="00980595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проект постановления Администрации муниципального образования «</w:t>
            </w:r>
            <w:r w:rsidRPr="00980595">
              <w:rPr>
                <w:sz w:val="22"/>
                <w:szCs w:val="22"/>
              </w:rPr>
              <w:t xml:space="preserve">Новомалыклинский район» Ульяновской области </w:t>
            </w:r>
            <w:r w:rsidR="00864C16" w:rsidRPr="00864C16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ACFDECB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289C700E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6EFEF1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187016E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6A5E35AD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43FA5714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5D95478A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5C8B78D4" w:rsidR="001C1982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494C84"/>
    <w:rsid w:val="00563597"/>
    <w:rsid w:val="00577FE0"/>
    <w:rsid w:val="00864C16"/>
    <w:rsid w:val="00980595"/>
    <w:rsid w:val="00D04434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8</cp:revision>
  <cp:lastPrinted>2020-12-22T06:38:00Z</cp:lastPrinted>
  <dcterms:created xsi:type="dcterms:W3CDTF">2018-11-19T04:57:00Z</dcterms:created>
  <dcterms:modified xsi:type="dcterms:W3CDTF">2020-12-22T06:38:00Z</dcterms:modified>
</cp:coreProperties>
</file>