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D3D0F" w:rsidTr="00BE4B70">
        <w:trPr>
          <w:cantSplit/>
          <w:trHeight w:val="5245"/>
        </w:trPr>
        <w:tc>
          <w:tcPr>
            <w:tcW w:w="5245" w:type="dxa"/>
            <w:shd w:val="clear" w:color="auto" w:fill="auto"/>
          </w:tcPr>
          <w:p w:rsidR="00BD3D0F" w:rsidRDefault="00BD3D0F" w:rsidP="00BD3D0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ED0C425" wp14:editId="1A017AA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831816"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 w:rsidRPr="00831816"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lang w:val="ru-RU"/>
              </w:rPr>
            </w:pPr>
            <w:r w:rsidRPr="00831816">
              <w:rPr>
                <w:b/>
                <w:lang w:val="ru-RU"/>
              </w:rPr>
              <w:t>АДМИНИСТРАЦИЯ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lang w:val="ru-RU"/>
              </w:rPr>
            </w:pPr>
            <w:r w:rsidRPr="00831816">
              <w:rPr>
                <w:b/>
                <w:lang w:val="ru-RU"/>
              </w:rPr>
              <w:t>муниципального образования «Новомалыклинский район</w:t>
            </w:r>
            <w:r w:rsidRPr="00831816">
              <w:rPr>
                <w:lang w:val="ru-RU"/>
              </w:rPr>
              <w:t>»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 w:rsidRPr="00831816">
              <w:rPr>
                <w:sz w:val="28"/>
                <w:szCs w:val="28"/>
                <w:lang w:val="ru-RU"/>
              </w:rPr>
              <w:t>_______________________________</w:t>
            </w:r>
          </w:p>
          <w:p w:rsidR="00BD3D0F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 w:rsidRPr="00831816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831816"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 w:rsidRPr="00831816">
              <w:rPr>
                <w:rFonts w:ascii="Times New Roman" w:hAnsi="Times New Roman"/>
                <w:lang w:val="ru-RU"/>
              </w:rPr>
              <w:t xml:space="preserve">://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2715EF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</w:rPr>
              <w:t>Email</w:t>
            </w:r>
            <w:r w:rsidRPr="002715EF">
              <w:rPr>
                <w:rFonts w:ascii="Times New Roman" w:hAnsi="Times New Roman"/>
                <w:lang w:val="ru-RU"/>
              </w:rPr>
              <w:t xml:space="preserve">.: </w:t>
            </w:r>
            <w:hyperlink r:id="rId10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2715EF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5EF">
              <w:rPr>
                <w:rFonts w:ascii="Times New Roman" w:hAnsi="Times New Roman"/>
                <w:sz w:val="18"/>
                <w:szCs w:val="18"/>
                <w:lang w:val="ru-RU"/>
              </w:rPr>
              <w:t>«______ »</w:t>
            </w:r>
            <w:r w:rsidR="00EC350B"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B94951">
              <w:rPr>
                <w:rFonts w:ascii="Times New Roman" w:hAnsi="Times New Roman"/>
                <w:sz w:val="18"/>
                <w:szCs w:val="18"/>
                <w:lang w:val="ru-RU"/>
              </w:rPr>
              <w:t>апре</w:t>
            </w:r>
            <w:r w:rsidR="00A070B6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="00D7483F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="00E461E9"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202</w:t>
            </w:r>
            <w:r w:rsidR="00E66D6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BE4B70" w:rsidRPr="002715EF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.№ </w:t>
            </w:r>
            <w:r w:rsidR="008318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01/ 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 w:rsidR="00BE4B70">
              <w:rPr>
                <w:rFonts w:ascii="Times New Roman" w:hAnsi="Times New Roman"/>
                <w:sz w:val="18"/>
                <w:szCs w:val="18"/>
                <w:lang w:val="ru-RU"/>
              </w:rPr>
              <w:t>исх.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D3D0F" w:rsidRDefault="00BD3D0F" w:rsidP="00F7177F">
            <w:pPr>
              <w:snapToGrid w:val="0"/>
              <w:ind w:left="459" w:right="325"/>
              <w:jc w:val="center"/>
              <w:rPr>
                <w:sz w:val="28"/>
              </w:rPr>
            </w:pPr>
          </w:p>
          <w:p w:rsidR="00BD3D0F" w:rsidRPr="00910322" w:rsidRDefault="00BD3D0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D0F" w:rsidRDefault="00A35AA6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B77C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D3D0F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BD3D0F" w:rsidRDefault="00A35AA6" w:rsidP="00A35A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</w:t>
            </w:r>
            <w:r w:rsidR="00CF55EA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3D0F" w:rsidRDefault="00BD3D0F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83181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</w:p>
    <w:p w:rsid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за</w:t>
      </w:r>
      <w:r w:rsidR="00AF443D">
        <w:rPr>
          <w:rFonts w:ascii="Times New Roman" w:hAnsi="Times New Roman" w:cs="Times New Roman"/>
          <w:sz w:val="28"/>
          <w:szCs w:val="28"/>
        </w:rPr>
        <w:t xml:space="preserve"> </w:t>
      </w:r>
      <w:r w:rsidR="00EC350B">
        <w:rPr>
          <w:rFonts w:ascii="Times New Roman" w:hAnsi="Times New Roman" w:cs="Times New Roman"/>
          <w:sz w:val="28"/>
          <w:szCs w:val="28"/>
        </w:rPr>
        <w:t xml:space="preserve"> </w:t>
      </w:r>
      <w:r w:rsidR="0002228E">
        <w:rPr>
          <w:rFonts w:ascii="Times New Roman" w:hAnsi="Times New Roman" w:cs="Times New Roman"/>
          <w:sz w:val="28"/>
          <w:szCs w:val="28"/>
        </w:rPr>
        <w:t>1</w:t>
      </w:r>
      <w:r w:rsidR="004E4FC5">
        <w:rPr>
          <w:rFonts w:ascii="Times New Roman" w:hAnsi="Times New Roman" w:cs="Times New Roman"/>
          <w:sz w:val="28"/>
          <w:szCs w:val="28"/>
        </w:rPr>
        <w:t xml:space="preserve"> </w:t>
      </w:r>
      <w:r w:rsidRPr="00E6239E">
        <w:rPr>
          <w:rFonts w:ascii="Times New Roman" w:hAnsi="Times New Roman" w:cs="Times New Roman"/>
          <w:sz w:val="28"/>
          <w:szCs w:val="28"/>
        </w:rPr>
        <w:t xml:space="preserve"> квартал  20</w:t>
      </w:r>
      <w:r w:rsidR="00D7483F">
        <w:rPr>
          <w:rFonts w:ascii="Times New Roman" w:hAnsi="Times New Roman" w:cs="Times New Roman"/>
          <w:sz w:val="28"/>
          <w:szCs w:val="28"/>
        </w:rPr>
        <w:t>2</w:t>
      </w:r>
      <w:r w:rsidR="00E66D64">
        <w:rPr>
          <w:rFonts w:ascii="Times New Roman" w:hAnsi="Times New Roman" w:cs="Times New Roman"/>
          <w:sz w:val="28"/>
          <w:szCs w:val="28"/>
        </w:rPr>
        <w:t>3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3776" w:rsidRDefault="001C3776" w:rsidP="00A06F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1C3776" w:rsidTr="00351488">
        <w:tc>
          <w:tcPr>
            <w:tcW w:w="2127" w:type="dxa"/>
          </w:tcPr>
          <w:p w:rsidR="001C3776" w:rsidRPr="00351488" w:rsidRDefault="001C377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1C3776" w:rsidRDefault="001C3776" w:rsidP="001C377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02228E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7483F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E66D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D7483F" w:rsidRDefault="00D7483F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D4396C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B19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AD730B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ьше показателей за аналогичны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</w:t>
            </w:r>
            <w:r w:rsidR="00430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ше показателей за аналогичный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4B19E0" w:rsidRPr="004B19E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3E" w:rsidRDefault="006A713E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обращениях жителям</w:t>
            </w:r>
            <w:r w:rsidR="00B34894">
              <w:rPr>
                <w:rFonts w:ascii="Times New Roman" w:hAnsi="Times New Roman" w:cs="Times New Roman"/>
                <w:sz w:val="28"/>
                <w:szCs w:val="28"/>
              </w:rPr>
              <w:t>и в отчетном периоде поставлен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B19E0" w:rsidRPr="004B19E0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6C2609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="009349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 на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аналогичного периода прошлого года (далее по тексту АППГ)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ьше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аналогичного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A713E" w:rsidRDefault="006A713E" w:rsidP="004B19E0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4E45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1C3776" w:rsidTr="00351488">
        <w:tc>
          <w:tcPr>
            <w:tcW w:w="2127" w:type="dxa"/>
          </w:tcPr>
          <w:p w:rsidR="001C3776" w:rsidRPr="00CE46D9" w:rsidRDefault="006A713E" w:rsidP="00831816">
            <w:pPr>
              <w:jc w:val="center"/>
              <w:rPr>
                <w:rFonts w:ascii="Times New Roman" w:hAnsi="Times New Roman" w:cs="Times New Roman"/>
              </w:rPr>
            </w:pPr>
            <w:r w:rsidRPr="00CE46D9">
              <w:rPr>
                <w:rFonts w:ascii="Times New Roman" w:hAnsi="Times New Roman" w:cs="Times New Roman"/>
              </w:rPr>
              <w:t xml:space="preserve">Динамика ключевых показателей </w:t>
            </w:r>
            <w:r w:rsidR="00F43992" w:rsidRPr="00CE46D9">
              <w:rPr>
                <w:rFonts w:ascii="Times New Roman" w:hAnsi="Times New Roman" w:cs="Times New Roman"/>
              </w:rPr>
              <w:t xml:space="preserve">(перенаправленные обращения, </w:t>
            </w:r>
            <w:r w:rsidR="00F43992" w:rsidRPr="00CE46D9">
              <w:rPr>
                <w:rFonts w:ascii="Times New Roman" w:hAnsi="Times New Roman" w:cs="Times New Roman"/>
              </w:rPr>
              <w:lastRenderedPageBreak/>
              <w:t>коллективные, повторные)</w:t>
            </w:r>
          </w:p>
        </w:tc>
        <w:tc>
          <w:tcPr>
            <w:tcW w:w="8221" w:type="dxa"/>
          </w:tcPr>
          <w:p w:rsidR="007272BA" w:rsidRPr="00CE46D9" w:rsidRDefault="006A713E" w:rsidP="006A713E">
            <w:pPr>
              <w:ind w:firstLine="4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ключевых показателей в работе с обращениями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B19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ьшен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ие количества  перенаправленных из вышестоящих  органов власти обращений:</w:t>
            </w:r>
          </w:p>
          <w:p w:rsidR="004B605D" w:rsidRPr="00CE46D9" w:rsidRDefault="0065094D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</w:t>
            </w:r>
            <w:r w:rsidR="00AD730B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B19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Правительства Ульяновской области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Президента РФ зарегистрировано не было.</w:t>
            </w:r>
          </w:p>
          <w:p w:rsidR="00062DBD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65094D" w:rsidRPr="00CE46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было зарегистрировано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, перенаправленные из Правительства Ульяновской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обращение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Ульяновской области, 1 обращение из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Самарской и Ульяновской областям.</w:t>
            </w:r>
            <w:proofErr w:type="gramEnd"/>
          </w:p>
          <w:p w:rsidR="00BE4319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E1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1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075B7">
              <w:rPr>
                <w:rFonts w:ascii="Times New Roman" w:hAnsi="Times New Roman" w:cs="Times New Roman"/>
                <w:sz w:val="28"/>
                <w:szCs w:val="28"/>
              </w:rPr>
              <w:t>обращений  из Правительства Ульяновской области и Администрации Президента РФ зарегистрировано не было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992" w:rsidRPr="00CE46D9" w:rsidRDefault="00F43992" w:rsidP="001E57A7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В отчетном периоде  20</w:t>
            </w:r>
            <w:r w:rsidR="00D20882" w:rsidRPr="00CE46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года зарегистрировано –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4E75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коллективных обращений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D6436" w:rsidRPr="00CE46D9" w:rsidRDefault="00F43992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3D1F92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r w:rsidR="003D1F9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омалыклинская РБ»</w:t>
            </w:r>
            <w:r w:rsidR="003D1F9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1C060D">
              <w:rPr>
                <w:rFonts w:ascii="Times New Roman" w:hAnsi="Times New Roman" w:cs="Times New Roman"/>
                <w:sz w:val="28"/>
                <w:szCs w:val="28"/>
              </w:rPr>
              <w:t xml:space="preserve">ухода за престарелыми гражданами (по </w:t>
            </w:r>
            <w:r w:rsidR="001C060D" w:rsidRPr="00CE46D9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r w:rsidR="001C060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C060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1C060D">
              <w:rPr>
                <w:rFonts w:ascii="Times New Roman" w:hAnsi="Times New Roman" w:cs="Times New Roman"/>
                <w:sz w:val="28"/>
                <w:szCs w:val="28"/>
              </w:rPr>
              <w:t>ю даны разъяснения</w:t>
            </w:r>
            <w:r w:rsidR="008D6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6436" w:rsidRPr="00CE4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02EA" w:rsidRPr="00CE46D9" w:rsidRDefault="007D6436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жителей 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F02E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060D">
              <w:rPr>
                <w:rFonts w:ascii="Times New Roman" w:hAnsi="Times New Roman" w:cs="Times New Roman"/>
                <w:sz w:val="28"/>
                <w:szCs w:val="28"/>
              </w:rPr>
              <w:t>бдреево</w:t>
            </w:r>
            <w:r w:rsidR="001F02E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</w:t>
            </w:r>
            <w:r w:rsidR="00B135C6" w:rsidRPr="00CE46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83E9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</w:t>
            </w:r>
            <w:r w:rsidR="001C060D">
              <w:rPr>
                <w:rFonts w:ascii="Times New Roman" w:hAnsi="Times New Roman" w:cs="Times New Roman"/>
                <w:sz w:val="28"/>
                <w:szCs w:val="28"/>
              </w:rPr>
              <w:t>лежачего полицейского в центре с. Абдреево</w:t>
            </w:r>
            <w:r w:rsidR="00BC217F" w:rsidRPr="00CE46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060D">
              <w:rPr>
                <w:rFonts w:ascii="Times New Roman" w:hAnsi="Times New Roman" w:cs="Times New Roman"/>
                <w:sz w:val="28"/>
                <w:szCs w:val="28"/>
              </w:rPr>
              <w:t xml:space="preserve"> а также возле дома №43 по ул. 50 лет Победы  и ремонта дорожного </w:t>
            </w:r>
            <w:r w:rsidR="00F11A66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1C06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217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A66">
              <w:rPr>
                <w:rFonts w:ascii="Times New Roman" w:hAnsi="Times New Roman" w:cs="Times New Roman"/>
                <w:sz w:val="28"/>
                <w:szCs w:val="28"/>
              </w:rPr>
              <w:t xml:space="preserve">по ул. 50 лет Победы после замены труб </w:t>
            </w:r>
            <w:r w:rsidR="00BC217F" w:rsidRPr="00CE46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C217F" w:rsidRPr="00CE46D9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C217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>ю даны разъяснения</w:t>
            </w:r>
            <w:r w:rsidR="00BC217F" w:rsidRPr="00CE4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02EA" w:rsidRPr="00CE46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E76" w:rsidRDefault="001F02EA" w:rsidP="00CF3E76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от жителей </w:t>
            </w:r>
            <w:r w:rsidR="00B77C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7C71">
              <w:rPr>
                <w:rFonts w:ascii="Times New Roman" w:hAnsi="Times New Roman" w:cs="Times New Roman"/>
                <w:sz w:val="28"/>
                <w:szCs w:val="28"/>
              </w:rPr>
              <w:t>Абдреево</w:t>
            </w:r>
            <w:r w:rsidR="00C83E9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643F">
              <w:rPr>
                <w:rFonts w:ascii="Times New Roman" w:hAnsi="Times New Roman" w:cs="Times New Roman"/>
                <w:sz w:val="28"/>
                <w:szCs w:val="28"/>
              </w:rPr>
              <w:t>о вопрос</w:t>
            </w:r>
            <w:r w:rsidR="00B77C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 xml:space="preserve"> ремонта </w:t>
            </w:r>
            <w:r w:rsidR="00B77C71">
              <w:rPr>
                <w:rFonts w:ascii="Times New Roman" w:hAnsi="Times New Roman" w:cs="Times New Roman"/>
                <w:sz w:val="28"/>
                <w:szCs w:val="28"/>
              </w:rPr>
              <w:t>моста через реку</w:t>
            </w:r>
            <w:proofErr w:type="gramStart"/>
            <w:r w:rsidR="00B77C7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B77C71">
              <w:rPr>
                <w:rFonts w:ascii="Times New Roman" w:hAnsi="Times New Roman" w:cs="Times New Roman"/>
                <w:sz w:val="28"/>
                <w:szCs w:val="28"/>
              </w:rPr>
              <w:t xml:space="preserve">враль на въезде в село Абдреево </w:t>
            </w:r>
            <w:r w:rsidR="00E83B22" w:rsidRPr="00CE46D9">
              <w:rPr>
                <w:rFonts w:ascii="Times New Roman" w:hAnsi="Times New Roman" w:cs="Times New Roman"/>
                <w:sz w:val="28"/>
                <w:szCs w:val="28"/>
              </w:rPr>
              <w:t>(данно</w:t>
            </w:r>
            <w:r w:rsidR="00B77C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3B22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B77C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3B22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4A2"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перенаправлено по компетенции</w:t>
            </w:r>
            <w:r w:rsidR="00E83B22" w:rsidRPr="00CE4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7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3E76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3E9F" w:rsidRPr="00CE46D9" w:rsidRDefault="00CF3E76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уменьшилось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1 обращение в сравнении с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с АППГ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BB30C6" w:rsidRPr="00242B5C" w:rsidRDefault="0077584E" w:rsidP="00242B5C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B0613E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D2088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B77C71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повторн</w:t>
            </w:r>
            <w:r w:rsidR="00242B5C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242B5C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 зарегистрировано не было.</w:t>
            </w:r>
          </w:p>
          <w:p w:rsidR="00B34894" w:rsidRPr="001E57A7" w:rsidRDefault="00B669E4" w:rsidP="00242B5C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4EE" w:rsidRPr="00CE46D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2441">
              <w:rPr>
                <w:rFonts w:ascii="Times New Roman" w:hAnsi="Times New Roman"/>
                <w:sz w:val="28"/>
                <w:szCs w:val="28"/>
              </w:rPr>
              <w:t>аналогичных периодах 202</w:t>
            </w:r>
            <w:r w:rsidR="00242B5C">
              <w:rPr>
                <w:rFonts w:ascii="Times New Roman" w:hAnsi="Times New Roman"/>
                <w:sz w:val="28"/>
                <w:szCs w:val="28"/>
              </w:rPr>
              <w:t>2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и 20</w:t>
            </w:r>
            <w:r w:rsidR="00B0613E">
              <w:rPr>
                <w:rFonts w:ascii="Times New Roman" w:hAnsi="Times New Roman"/>
                <w:sz w:val="28"/>
                <w:szCs w:val="28"/>
              </w:rPr>
              <w:t>2</w:t>
            </w:r>
            <w:r w:rsidR="00242B5C">
              <w:rPr>
                <w:rFonts w:ascii="Times New Roman" w:hAnsi="Times New Roman"/>
                <w:sz w:val="28"/>
                <w:szCs w:val="28"/>
              </w:rPr>
              <w:t>1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F1EFD">
              <w:rPr>
                <w:rFonts w:ascii="Times New Roman" w:hAnsi="Times New Roman"/>
                <w:sz w:val="28"/>
                <w:szCs w:val="28"/>
              </w:rPr>
              <w:t>ов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– повторных обращени</w:t>
            </w:r>
            <w:r w:rsidR="004374EE" w:rsidRPr="00CE46D9">
              <w:rPr>
                <w:rFonts w:ascii="Times New Roman" w:hAnsi="Times New Roman"/>
                <w:sz w:val="28"/>
                <w:szCs w:val="28"/>
              </w:rPr>
              <w:t>й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было 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зарегистрировано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по 1 обращению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B34894" w:rsidP="00B34894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B34894" w:rsidRDefault="00B3489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D7217F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C32D95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CF3E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форме поступления обращения  распределились следующим  образом: </w:t>
            </w:r>
          </w:p>
          <w:p w:rsidR="0087397E" w:rsidRDefault="00167EB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зарегистрированных обращений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том числе 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%, в форме электронного документа)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7397E" w:rsidRDefault="004F26EC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устных обращений или 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87397E" w:rsidRDefault="0087397E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сравнении с аналогичным период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 20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ащений)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немного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увеличил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ась 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письмен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уменьшилась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уст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>ных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- 1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обращений.</w:t>
            </w:r>
          </w:p>
          <w:p w:rsidR="002B171C" w:rsidRPr="008F4F63" w:rsidRDefault="00C46D48" w:rsidP="00CF3E76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Довольно низким остается к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оличество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поступивших  в форме электронного документа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202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поступило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F3E7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поступивших обращений)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Данный факт может 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говорить о неосведомлённости населения о возможности обращаться через виртуальную приёмную, невозможностью обращаться в электронной форме, обусловленной возрастом и материальным положением, желанием жителей задавать вопросы при личных встречах с руководителями района.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8F4F63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Источники поступления обращений</w:t>
            </w:r>
          </w:p>
        </w:tc>
        <w:tc>
          <w:tcPr>
            <w:tcW w:w="8221" w:type="dxa"/>
          </w:tcPr>
          <w:p w:rsidR="0009251A" w:rsidRDefault="00794284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1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устных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0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поступило  в ходе  проведения личн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ых приёмов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приняты  в ходе приемов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на местах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принято 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личных приёмах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46FE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AC6" w:rsidRPr="00DA0AC6" w:rsidRDefault="00DA0AC6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0E6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A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письменных обращений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(26,2% из 65 обращений)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% обращений (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  принято в ОМСУ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32E" w:rsidRP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поступил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EC4B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)  поступило по почте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35E6" w:rsidRDefault="00DA0AC6" w:rsidP="00DA0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>В сравнении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кварталом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увеличил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доля письменных обращений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написанных от руки и направленных в конвертах.</w:t>
            </w:r>
          </w:p>
          <w:p w:rsidR="006769A3" w:rsidRDefault="005335E6" w:rsidP="00DA0AC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в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1 квартале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  составила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3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AC6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а в сравнении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1 кварталом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71C8" w:rsidRPr="008E79C5" w:rsidRDefault="00AB1BFF" w:rsidP="0091679F">
            <w:pPr>
              <w:ind w:firstLine="4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доля обращений, поступивших в форме электронного документа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 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1 кварталом 202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, осталась на прежнем уровне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B116D" w:rsidRPr="0091679F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%). </w:t>
            </w:r>
          </w:p>
        </w:tc>
      </w:tr>
      <w:tr w:rsidR="005335E6" w:rsidTr="00351488">
        <w:tc>
          <w:tcPr>
            <w:tcW w:w="2127" w:type="dxa"/>
          </w:tcPr>
          <w:p w:rsidR="005335E6" w:rsidRPr="00351488" w:rsidRDefault="005335E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2F57F2" w:rsidRDefault="00401D80" w:rsidP="008552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1C5265" w:rsidRPr="001C52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4E5F8A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91679F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зарегистрирован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ы заявления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жалоб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поступало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C5265" w:rsidRDefault="00401D80" w:rsidP="004E5F8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4E5F8A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305D3F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6B1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зарегистрирован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F57F2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предложение</w:t>
            </w:r>
            <w:r w:rsidR="00117D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о сотрудничестве по направлению сотрудников на повышение квалификации</w:t>
            </w:r>
            <w:r w:rsidR="00305D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24504" w:rsidRDefault="00401D80" w:rsidP="0091679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824504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квартале 2022 года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была зарегистрирована </w:t>
            </w:r>
            <w:r w:rsidR="00824504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некорректное поведение администратора </w:t>
            </w:r>
            <w:proofErr w:type="gramStart"/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>. Новая Бесовка. Обращение было перенаправлено по компетенции главе администрации МО «Высококолковское сельское поселение» для рассмотрения и ответа заявителю.</w:t>
            </w:r>
          </w:p>
          <w:p w:rsidR="00401D80" w:rsidRPr="00351488" w:rsidRDefault="00824504" w:rsidP="0082450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01D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401D80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квартале 202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401D80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401D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жалоб и предложений не зарегистрировано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E5E45" w:rsidTr="00351488">
        <w:tc>
          <w:tcPr>
            <w:tcW w:w="2127" w:type="dxa"/>
          </w:tcPr>
          <w:p w:rsidR="001E5E45" w:rsidRPr="00351488" w:rsidRDefault="00652277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вопросов в </w:t>
            </w:r>
            <w:r w:rsidR="00401D80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67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9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04" w:rsidRPr="0082450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015966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как  и  в 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117D1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стоит  кластер «Хозяйственная деятельность»  - 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F1721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5A02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общего количества поставленных в обращениях вопросов. </w:t>
            </w:r>
          </w:p>
          <w:p w:rsidR="00652277" w:rsidRDefault="00F80E50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</w:t>
            </w:r>
            <w:r w:rsidR="009C2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108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Старая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Бесовк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спил аварийных деревьев по ул. Центральная между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3 и 5 при въезде в село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DF6" w:rsidRDefault="0080382B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бдреево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</w:t>
            </w:r>
            <w:proofErr w:type="gramStart"/>
            <w:r w:rsidR="006B1D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B1D16">
              <w:rPr>
                <w:rFonts w:ascii="Times New Roman" w:hAnsi="Times New Roman" w:cs="Times New Roman"/>
                <w:sz w:val="28"/>
                <w:szCs w:val="28"/>
              </w:rPr>
              <w:t xml:space="preserve"> с. Абдреево, очистка дорог от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85DF6"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82B" w:rsidRDefault="0080382B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605A3C">
              <w:rPr>
                <w:rFonts w:ascii="Times New Roman" w:hAnsi="Times New Roman" w:cs="Times New Roman"/>
                <w:sz w:val="28"/>
                <w:szCs w:val="28"/>
              </w:rPr>
              <w:t>вырубка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кустарника, поросли клена;</w:t>
            </w:r>
          </w:p>
          <w:p w:rsidR="007F58E6" w:rsidRDefault="007F58E6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605A3C">
              <w:rPr>
                <w:rFonts w:ascii="Times New Roman" w:hAnsi="Times New Roman" w:cs="Times New Roman"/>
                <w:sz w:val="28"/>
                <w:szCs w:val="28"/>
              </w:rPr>
              <w:t>Новочеремшанск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5A3C">
              <w:rPr>
                <w:rFonts w:ascii="Times New Roman" w:hAnsi="Times New Roman" w:cs="Times New Roman"/>
                <w:sz w:val="28"/>
                <w:szCs w:val="28"/>
              </w:rPr>
              <w:t>установка адресной таблички на МКД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42FB" w:rsidRDefault="004A42FB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05A3C">
              <w:rPr>
                <w:rFonts w:ascii="Times New Roman" w:hAnsi="Times New Roman" w:cs="Times New Roman"/>
                <w:sz w:val="28"/>
                <w:szCs w:val="28"/>
              </w:rPr>
              <w:t>Старый Сантимир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5A3C">
              <w:rPr>
                <w:rFonts w:ascii="Times New Roman" w:hAnsi="Times New Roman" w:cs="Times New Roman"/>
                <w:sz w:val="28"/>
                <w:szCs w:val="28"/>
              </w:rPr>
              <w:t>покраска газовых труб по селу Старый Сантимир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A01EC" w:rsidRDefault="007A01EC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Вороний Куст, установка опознавательных ограждений оголовок 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>ул. Центральная и ул. Лесная;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82B" w:rsidRDefault="00605A3C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03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Старая Бесовка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укладка водопропускной трубы под дорогой по ул. Молодежная, д.2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3BCF" w:rsidRDefault="00623BCF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Абдреево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 xml:space="preserve">, спил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 около заброшенных домов</w:t>
            </w:r>
            <w:r w:rsidR="007F58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33DC" w:rsidRDefault="00623BCF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Якушка, устройство стоянки для грузового транспорта около магазина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82B" w:rsidRPr="00F85DF6" w:rsidRDefault="003333DC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Абдреево, ремонт газовых стоек по ул. 50 лет Победы</w:t>
            </w:r>
            <w:r w:rsidR="00623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3DC0" w:rsidRDefault="00E8400B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нормализация водоснабжения –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D3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78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978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3BCF">
              <w:rPr>
                <w:rFonts w:ascii="Times New Roman" w:hAnsi="Times New Roman" w:cs="Times New Roman"/>
                <w:sz w:val="28"/>
                <w:szCs w:val="28"/>
              </w:rPr>
              <w:t>Старая Тюгальбуга, ул. Садовая, д.67</w:t>
            </w:r>
            <w:r w:rsidR="006157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E0A">
              <w:rPr>
                <w:rFonts w:ascii="Times New Roman" w:hAnsi="Times New Roman" w:cs="Times New Roman"/>
                <w:sz w:val="28"/>
                <w:szCs w:val="28"/>
              </w:rPr>
              <w:t xml:space="preserve"> ул. Речная, д.38;</w:t>
            </w:r>
            <w:r w:rsidR="00615769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23BCF">
              <w:rPr>
                <w:rFonts w:ascii="Times New Roman" w:hAnsi="Times New Roman" w:cs="Times New Roman"/>
                <w:sz w:val="28"/>
                <w:szCs w:val="28"/>
              </w:rPr>
              <w:t>Александровка, ул. Центральная</w:t>
            </w:r>
            <w:r w:rsidR="00CC6786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  <w:r w:rsidR="00497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3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87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C6786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615769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CC6786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 w:rsidR="006157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6786">
              <w:rPr>
                <w:rFonts w:ascii="Times New Roman" w:hAnsi="Times New Roman" w:cs="Times New Roman"/>
                <w:sz w:val="28"/>
                <w:szCs w:val="28"/>
              </w:rPr>
              <w:t>, ул. Центральная, д.37</w:t>
            </w:r>
            <w:r w:rsidR="00291E0A">
              <w:rPr>
                <w:rFonts w:ascii="Times New Roman" w:hAnsi="Times New Roman" w:cs="Times New Roman"/>
                <w:sz w:val="28"/>
                <w:szCs w:val="28"/>
              </w:rPr>
              <w:t>, ул. Новая, д.14</w:t>
            </w:r>
            <w:r w:rsidR="004978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91E0A">
              <w:rPr>
                <w:rFonts w:ascii="Times New Roman" w:hAnsi="Times New Roman" w:cs="Times New Roman"/>
                <w:sz w:val="28"/>
                <w:szCs w:val="28"/>
              </w:rPr>
              <w:t xml:space="preserve"> с. Абдреево, ул. 50 лет Победы, д.58, 77, ул. Мусы </w:t>
            </w:r>
            <w:proofErr w:type="spellStart"/>
            <w:r w:rsidR="00291E0A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291E0A">
              <w:rPr>
                <w:rFonts w:ascii="Times New Roman" w:hAnsi="Times New Roman" w:cs="Times New Roman"/>
                <w:sz w:val="28"/>
                <w:szCs w:val="28"/>
              </w:rPr>
              <w:t>, д.15, ремонт водонапорной башни по ул. 50 лет Победы.</w:t>
            </w:r>
            <w:r w:rsidR="0049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3DC" w:rsidRDefault="003333DC" w:rsidP="003333DC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уличное освещение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 или 7,4%,</w:t>
            </w:r>
          </w:p>
          <w:p w:rsidR="003333DC" w:rsidRDefault="003333DC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Новая Малыкла, ул. Коммунальная, д.21; с.  Новочеремшанск, между домами по ул. Зеленая, 13 и ул. Садовая,1;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Эчкаюн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начале ул. Центральная, ул. Центральная, д.77;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ул. Речная, д.38; с. Нижняя Якушка, ул. Зеленая, д.40.</w:t>
            </w:r>
          </w:p>
          <w:p w:rsidR="005D3DC0" w:rsidRDefault="00965568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15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 – </w:t>
            </w:r>
            <w:r w:rsidR="00D858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D858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858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965568" w:rsidRPr="00015966" w:rsidRDefault="00AF6CE6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06DF">
              <w:rPr>
                <w:rFonts w:ascii="Times New Roman" w:hAnsi="Times New Roman" w:cs="Times New Roman"/>
                <w:sz w:val="28"/>
                <w:szCs w:val="28"/>
              </w:rPr>
              <w:t>Старая Куликовка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r w:rsidRPr="007A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к кладбищу и начало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вая), 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с. Старая Бесовка (дорога по ул. Новая и ул. Черемшанская), с. 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>Абдреево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 xml:space="preserve">дорога по ул. Мусы </w:t>
            </w:r>
            <w:proofErr w:type="spellStart"/>
            <w:r w:rsidR="009108DC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D85801">
              <w:rPr>
                <w:rFonts w:ascii="Times New Roman" w:hAnsi="Times New Roman" w:cs="Times New Roman"/>
                <w:sz w:val="28"/>
                <w:szCs w:val="28"/>
              </w:rPr>
              <w:t>, ул. 50 лет Победы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7A0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 xml:space="preserve"> Станция Якушка (дорога по ул. Кооперативная от д.48 и дальше до конца)</w:t>
            </w:r>
            <w:r w:rsidR="00910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3D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- содержание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64481" w:rsidRPr="00464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497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</w:t>
            </w:r>
            <w:r w:rsidR="00D85801">
              <w:rPr>
                <w:rFonts w:ascii="Times New Roman" w:hAnsi="Times New Roman" w:cs="Times New Roman"/>
                <w:sz w:val="28"/>
                <w:szCs w:val="28"/>
              </w:rPr>
              <w:t>очеремшанск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, ремонт балкона в МКД по ул. </w:t>
            </w:r>
            <w:proofErr w:type="gramStart"/>
            <w:r w:rsidR="003333DC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="003333DC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33D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497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>лыкла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(1);</w:t>
            </w:r>
          </w:p>
          <w:p w:rsidR="003333DC" w:rsidRDefault="00EA2FC5" w:rsidP="00423595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ликвидация несанкционирова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ной свалки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1,2;,</w:t>
            </w:r>
          </w:p>
          <w:p w:rsidR="00600AB0" w:rsidRPr="00370B8D" w:rsidRDefault="0003497C" w:rsidP="0042359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 (1)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8D2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D75BB" w:rsidRDefault="00015966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3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Вторую позицию разделили </w:t>
            </w:r>
            <w:r w:rsidR="00423595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 блока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</w:t>
            </w:r>
            <w:r w:rsidR="00E334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E33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33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BD75BB" w:rsidRPr="00370B8D" w:rsidRDefault="00BD75BB" w:rsidP="00BD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жилого и нежилого  помещения, переселение из аварийного жилья,</w:t>
            </w:r>
            <w:r w:rsidR="003008B4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приватизация жилого помещения, обследование жилого помещения на предмет пригодности для проживания,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Новочеремшанск (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Новая 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п. Станция Якушка (1)</w:t>
            </w:r>
            <w:r w:rsidR="003333DC">
              <w:rPr>
                <w:rFonts w:ascii="Times New Roman" w:hAnsi="Times New Roman" w:cs="Times New Roman"/>
                <w:sz w:val="28"/>
                <w:szCs w:val="28"/>
              </w:rPr>
              <w:t>, с. Новая Куликовка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75BB" w:rsidRPr="00226DB2" w:rsidRDefault="00423595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>Треть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ю позицию заняли вопросы муниципального земельного контроля и арендные отношения в области землепользования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75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D75BB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008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15966" w:rsidRPr="00AC1B3F" w:rsidRDefault="00BD75BB" w:rsidP="00B80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0267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2402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1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F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9CE">
              <w:rPr>
                <w:rFonts w:ascii="Times New Roman" w:hAnsi="Times New Roman" w:cs="Times New Roman"/>
                <w:sz w:val="28"/>
                <w:szCs w:val="28"/>
              </w:rPr>
              <w:t xml:space="preserve">тлов безнадзорных домашних животных, </w:t>
            </w:r>
            <w:bookmarkStart w:id="0" w:name="_GoBack"/>
            <w:bookmarkEnd w:id="0"/>
            <w:r w:rsidR="00D606D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F45F3C">
              <w:rPr>
                <w:rFonts w:ascii="Times New Roman" w:hAnsi="Times New Roman" w:cs="Times New Roman"/>
                <w:sz w:val="28"/>
                <w:szCs w:val="28"/>
              </w:rPr>
              <w:t>лежачих полицейских на дорогах</w:t>
            </w:r>
            <w:r w:rsidR="00D606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5F3C">
              <w:rPr>
                <w:rFonts w:ascii="Times New Roman" w:hAnsi="Times New Roman" w:cs="Times New Roman"/>
                <w:sz w:val="28"/>
                <w:szCs w:val="28"/>
              </w:rPr>
              <w:t xml:space="preserve"> ремонт ФАП</w:t>
            </w:r>
            <w:r w:rsidR="00B80A75">
              <w:rPr>
                <w:rFonts w:ascii="Times New Roman" w:hAnsi="Times New Roman" w:cs="Times New Roman"/>
                <w:sz w:val="28"/>
                <w:szCs w:val="28"/>
              </w:rPr>
              <w:t>, присвоение звания Ветеран труда Ульяновской области, организация мест для реализации продукции с личных приусадебных участков</w:t>
            </w:r>
            <w:r w:rsidR="00FC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B3F" w:rsidTr="00351488">
        <w:tc>
          <w:tcPr>
            <w:tcW w:w="2127" w:type="dxa"/>
          </w:tcPr>
          <w:p w:rsidR="00AC1B3F" w:rsidRPr="00351488" w:rsidRDefault="009F2BFE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AC1B3F" w:rsidRDefault="009F2BFE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поступило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«Новомалыклинское сельское поселение»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6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8D2F3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534D36" w:rsidRDefault="00427E27" w:rsidP="00534D3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месте  по активности  оказал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68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или </w:t>
            </w:r>
            <w:r w:rsidR="00D16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>На третьей позиции  сто</w:t>
            </w:r>
            <w:r w:rsidR="00D168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D3534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Новочеремшан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743355" w:rsidRDefault="00743355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четвертой позиции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сантимир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C097E" w:rsidRDefault="000C097E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7E">
              <w:rPr>
                <w:rFonts w:ascii="Times New Roman" w:hAnsi="Times New Roman" w:cs="Times New Roman"/>
                <w:sz w:val="28"/>
                <w:szCs w:val="28"/>
              </w:rPr>
              <w:t>На пятой позиции стоит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 «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якушкин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- 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651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A27E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с. Нов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очеремшанск - 1</w:t>
            </w:r>
            <w:r w:rsidR="00925D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EC1F8F" w:rsidRDefault="00EC1F8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</w:t>
            </w:r>
            <w:r w:rsidR="00925D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обращений,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Абдреево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25D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обращений,</w:t>
            </w:r>
          </w:p>
          <w:p w:rsidR="00427E27" w:rsidRDefault="00925DCE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C1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я Якуш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EC1F8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367ED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Бесовка – 4 обращения,</w:t>
            </w:r>
          </w:p>
          <w:p w:rsidR="00925DCE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Эчкаюн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 обращения</w:t>
            </w:r>
            <w:r w:rsidR="00925D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25DCE" w:rsidRDefault="00925DCE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Старая Бесовка – 4 обращения,</w:t>
            </w:r>
          </w:p>
          <w:p w:rsidR="00925DCE" w:rsidRDefault="00925DCE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Бесовка – 3 обращения,</w:t>
            </w:r>
          </w:p>
          <w:p w:rsidR="003367ED" w:rsidRDefault="00925DCE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 обращения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9EA" w:rsidRDefault="00A520E7" w:rsidP="00815CD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обращений в разрезе сельских поселений  показывает  сохранения лидирующих позиций 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«Новомалыклинское сельское поселение»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и МО «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Высококолков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. В сравнении с показателями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1 квартала 202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или 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и 2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МО «Новомалыклинское сельское поселение»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61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По МО «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Высококолковское сельское поселение» за 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да – 1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или 2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22,4%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 обращений за 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9B5A18" w:rsidTr="00351488">
        <w:tc>
          <w:tcPr>
            <w:tcW w:w="2127" w:type="dxa"/>
          </w:tcPr>
          <w:p w:rsidR="009B5A18" w:rsidRPr="00351488" w:rsidRDefault="009B5A18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9B5A18" w:rsidRDefault="009B5A1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рассмотрения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поставленных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обзорный период  показал следующее.</w:t>
            </w:r>
          </w:p>
          <w:p w:rsidR="007935CA" w:rsidRDefault="00987C8B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277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компетенции.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4176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даны разъяснения в ходе проведения личных приемов.</w:t>
            </w:r>
          </w:p>
          <w:p w:rsidR="007935CA" w:rsidRDefault="00A51FF7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принято к рассмотрению.</w:t>
            </w:r>
            <w:r w:rsidR="007935CA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поставленных на контроль 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F1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55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55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>% от количества поставленных на контроль обращений) приняты меры в полном объеме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0F14" w:rsidRDefault="00F90F14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5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A556B">
              <w:rPr>
                <w:rFonts w:ascii="Times New Roman" w:hAnsi="Times New Roman" w:cs="Times New Roman"/>
                <w:sz w:val="28"/>
                <w:szCs w:val="28"/>
              </w:rPr>
              <w:t>Александровк</w:t>
            </w:r>
            <w:r w:rsidR="009D50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7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56B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устранена авария на водопроводе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по ул. Центральная, д.9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F14" w:rsidRDefault="00F90F14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504D">
              <w:rPr>
                <w:rFonts w:ascii="Times New Roman" w:hAnsi="Times New Roman" w:cs="Times New Roman"/>
                <w:sz w:val="28"/>
                <w:szCs w:val="28"/>
              </w:rPr>
              <w:t xml:space="preserve">Старая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 w:rsidR="00167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восстановлено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F67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6E0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 w:rsidR="00936E08">
              <w:rPr>
                <w:rFonts w:ascii="Times New Roman" w:hAnsi="Times New Roman" w:cs="Times New Roman"/>
                <w:sz w:val="28"/>
                <w:szCs w:val="28"/>
              </w:rPr>
              <w:t xml:space="preserve">ая, </w:t>
            </w:r>
            <w:r w:rsidR="008F675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A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348" w:rsidRDefault="00A129C3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приняты меры разъяснительного характера.</w:t>
            </w:r>
          </w:p>
          <w:p w:rsidR="00A129C3" w:rsidRDefault="0055485D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CF1348" w:rsidRDefault="00CF1348" w:rsidP="00CF1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9C3" w:rsidRDefault="00A06F32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                                              </w:t>
      </w:r>
      <w:r w:rsidR="00430866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430866">
        <w:rPr>
          <w:rFonts w:ascii="Times New Roman" w:hAnsi="Times New Roman" w:cs="Times New Roman"/>
          <w:sz w:val="28"/>
          <w:szCs w:val="28"/>
        </w:rPr>
        <w:t>В.</w:t>
      </w:r>
    </w:p>
    <w:p w:rsidR="001C3776" w:rsidRPr="00A06F32" w:rsidRDefault="00863FE5" w:rsidP="00A06F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т</w:t>
      </w:r>
      <w:r w:rsidR="00A06F32">
        <w:rPr>
          <w:rFonts w:ascii="Times New Roman" w:hAnsi="Times New Roman" w:cs="Times New Roman"/>
          <w:sz w:val="20"/>
          <w:szCs w:val="20"/>
        </w:rPr>
        <w:t>ел. 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A06F32">
        <w:rPr>
          <w:rFonts w:ascii="Times New Roman" w:hAnsi="Times New Roman" w:cs="Times New Roman"/>
          <w:sz w:val="20"/>
          <w:szCs w:val="20"/>
        </w:rPr>
        <w:t>84-232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06F32">
        <w:rPr>
          <w:rFonts w:ascii="Times New Roman" w:hAnsi="Times New Roman" w:cs="Times New Roman"/>
          <w:sz w:val="20"/>
          <w:szCs w:val="20"/>
        </w:rPr>
        <w:t>2-21-51</w:t>
      </w:r>
    </w:p>
    <w:sectPr w:rsidR="001C3776" w:rsidRPr="00A06F32" w:rsidSect="00E623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D1" w:rsidRDefault="00321BD1" w:rsidP="007B5791">
      <w:r>
        <w:separator/>
      </w:r>
    </w:p>
  </w:endnote>
  <w:endnote w:type="continuationSeparator" w:id="0">
    <w:p w:rsidR="00321BD1" w:rsidRDefault="00321BD1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D1" w:rsidRDefault="00321BD1" w:rsidP="007B5791">
      <w:r>
        <w:separator/>
      </w:r>
    </w:p>
  </w:footnote>
  <w:footnote w:type="continuationSeparator" w:id="0">
    <w:p w:rsidR="00321BD1" w:rsidRDefault="00321BD1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09A5"/>
    <w:rsid w:val="00005639"/>
    <w:rsid w:val="000075B7"/>
    <w:rsid w:val="000114B5"/>
    <w:rsid w:val="0001306F"/>
    <w:rsid w:val="00014DB5"/>
    <w:rsid w:val="00015966"/>
    <w:rsid w:val="0002228E"/>
    <w:rsid w:val="00023CCA"/>
    <w:rsid w:val="00027DB8"/>
    <w:rsid w:val="0003497C"/>
    <w:rsid w:val="0003539D"/>
    <w:rsid w:val="0004040F"/>
    <w:rsid w:val="000408E7"/>
    <w:rsid w:val="00041D5C"/>
    <w:rsid w:val="00052FE1"/>
    <w:rsid w:val="00062DBD"/>
    <w:rsid w:val="0007587F"/>
    <w:rsid w:val="00076529"/>
    <w:rsid w:val="0009251A"/>
    <w:rsid w:val="00093441"/>
    <w:rsid w:val="000971C8"/>
    <w:rsid w:val="000A01D6"/>
    <w:rsid w:val="000B0C96"/>
    <w:rsid w:val="000B38FE"/>
    <w:rsid w:val="000B3C10"/>
    <w:rsid w:val="000C097E"/>
    <w:rsid w:val="000C3130"/>
    <w:rsid w:val="000C5A83"/>
    <w:rsid w:val="000D7B03"/>
    <w:rsid w:val="000E60AC"/>
    <w:rsid w:val="000E6BB0"/>
    <w:rsid w:val="000F7D0E"/>
    <w:rsid w:val="00100409"/>
    <w:rsid w:val="00101899"/>
    <w:rsid w:val="00103610"/>
    <w:rsid w:val="001060D5"/>
    <w:rsid w:val="001110B4"/>
    <w:rsid w:val="0011112F"/>
    <w:rsid w:val="00117D18"/>
    <w:rsid w:val="00123F81"/>
    <w:rsid w:val="001304A2"/>
    <w:rsid w:val="00133EE0"/>
    <w:rsid w:val="001347D5"/>
    <w:rsid w:val="00135239"/>
    <w:rsid w:val="00140260"/>
    <w:rsid w:val="00142333"/>
    <w:rsid w:val="001479AF"/>
    <w:rsid w:val="001556CE"/>
    <w:rsid w:val="0016174B"/>
    <w:rsid w:val="001628B2"/>
    <w:rsid w:val="00167D6F"/>
    <w:rsid w:val="00167EB4"/>
    <w:rsid w:val="00170979"/>
    <w:rsid w:val="00171DB7"/>
    <w:rsid w:val="00175375"/>
    <w:rsid w:val="00187BE0"/>
    <w:rsid w:val="00192C85"/>
    <w:rsid w:val="001935A8"/>
    <w:rsid w:val="00193F72"/>
    <w:rsid w:val="0019762A"/>
    <w:rsid w:val="00197D0F"/>
    <w:rsid w:val="001A0406"/>
    <w:rsid w:val="001A3C48"/>
    <w:rsid w:val="001B204C"/>
    <w:rsid w:val="001B4963"/>
    <w:rsid w:val="001C060D"/>
    <w:rsid w:val="001C214B"/>
    <w:rsid w:val="001C21DE"/>
    <w:rsid w:val="001C3776"/>
    <w:rsid w:val="001C5265"/>
    <w:rsid w:val="001D152B"/>
    <w:rsid w:val="001D3B25"/>
    <w:rsid w:val="001E0C6E"/>
    <w:rsid w:val="001E3251"/>
    <w:rsid w:val="001E57A7"/>
    <w:rsid w:val="001E5E45"/>
    <w:rsid w:val="001E7711"/>
    <w:rsid w:val="001F02EA"/>
    <w:rsid w:val="001F03D9"/>
    <w:rsid w:val="001F05D6"/>
    <w:rsid w:val="001F15DB"/>
    <w:rsid w:val="001F1EE8"/>
    <w:rsid w:val="001F1EFD"/>
    <w:rsid w:val="001F46D2"/>
    <w:rsid w:val="00201493"/>
    <w:rsid w:val="002052FC"/>
    <w:rsid w:val="00210A1D"/>
    <w:rsid w:val="002170A3"/>
    <w:rsid w:val="002209FA"/>
    <w:rsid w:val="00224DAD"/>
    <w:rsid w:val="00226DB2"/>
    <w:rsid w:val="002365B1"/>
    <w:rsid w:val="0023674A"/>
    <w:rsid w:val="00240267"/>
    <w:rsid w:val="00242B5C"/>
    <w:rsid w:val="002561AB"/>
    <w:rsid w:val="002563CC"/>
    <w:rsid w:val="00260A4C"/>
    <w:rsid w:val="002715EF"/>
    <w:rsid w:val="0027715F"/>
    <w:rsid w:val="00277BF4"/>
    <w:rsid w:val="00284959"/>
    <w:rsid w:val="00287F3F"/>
    <w:rsid w:val="00290C4F"/>
    <w:rsid w:val="00291E0A"/>
    <w:rsid w:val="002942DE"/>
    <w:rsid w:val="00295F7E"/>
    <w:rsid w:val="00297212"/>
    <w:rsid w:val="002A58BF"/>
    <w:rsid w:val="002B171C"/>
    <w:rsid w:val="002B2D47"/>
    <w:rsid w:val="002C0BED"/>
    <w:rsid w:val="002C4C53"/>
    <w:rsid w:val="002D11C5"/>
    <w:rsid w:val="002D2E8A"/>
    <w:rsid w:val="002D3BCD"/>
    <w:rsid w:val="002E43DA"/>
    <w:rsid w:val="002F57F2"/>
    <w:rsid w:val="003008B4"/>
    <w:rsid w:val="00302ED3"/>
    <w:rsid w:val="00304876"/>
    <w:rsid w:val="00305C16"/>
    <w:rsid w:val="00305D3F"/>
    <w:rsid w:val="00321BD1"/>
    <w:rsid w:val="00322C2B"/>
    <w:rsid w:val="0032385B"/>
    <w:rsid w:val="00330267"/>
    <w:rsid w:val="003333DC"/>
    <w:rsid w:val="003367ED"/>
    <w:rsid w:val="0033743F"/>
    <w:rsid w:val="00344A00"/>
    <w:rsid w:val="003456F6"/>
    <w:rsid w:val="00351488"/>
    <w:rsid w:val="003518AC"/>
    <w:rsid w:val="00355375"/>
    <w:rsid w:val="003638E2"/>
    <w:rsid w:val="00363F9A"/>
    <w:rsid w:val="00364185"/>
    <w:rsid w:val="003646DD"/>
    <w:rsid w:val="00365116"/>
    <w:rsid w:val="003651E4"/>
    <w:rsid w:val="00370130"/>
    <w:rsid w:val="00370B8D"/>
    <w:rsid w:val="00371108"/>
    <w:rsid w:val="0039132E"/>
    <w:rsid w:val="003A4370"/>
    <w:rsid w:val="003C6390"/>
    <w:rsid w:val="003D1F92"/>
    <w:rsid w:val="003D4BDC"/>
    <w:rsid w:val="003D4DC2"/>
    <w:rsid w:val="003D667B"/>
    <w:rsid w:val="003E1BCA"/>
    <w:rsid w:val="003E403F"/>
    <w:rsid w:val="003E6CF7"/>
    <w:rsid w:val="003F0C88"/>
    <w:rsid w:val="003F1E1E"/>
    <w:rsid w:val="004006DF"/>
    <w:rsid w:val="00400B32"/>
    <w:rsid w:val="00401CFB"/>
    <w:rsid w:val="00401D80"/>
    <w:rsid w:val="00402489"/>
    <w:rsid w:val="00402886"/>
    <w:rsid w:val="0041320D"/>
    <w:rsid w:val="00420B91"/>
    <w:rsid w:val="00423595"/>
    <w:rsid w:val="00426724"/>
    <w:rsid w:val="00427E27"/>
    <w:rsid w:val="00430866"/>
    <w:rsid w:val="00433940"/>
    <w:rsid w:val="004355B8"/>
    <w:rsid w:val="004374EE"/>
    <w:rsid w:val="00440696"/>
    <w:rsid w:val="004456FE"/>
    <w:rsid w:val="00445B38"/>
    <w:rsid w:val="00455FD3"/>
    <w:rsid w:val="0046264B"/>
    <w:rsid w:val="00464481"/>
    <w:rsid w:val="00471971"/>
    <w:rsid w:val="0047339A"/>
    <w:rsid w:val="00496279"/>
    <w:rsid w:val="0049787E"/>
    <w:rsid w:val="004A187C"/>
    <w:rsid w:val="004A35F0"/>
    <w:rsid w:val="004A42FB"/>
    <w:rsid w:val="004B19E0"/>
    <w:rsid w:val="004B3068"/>
    <w:rsid w:val="004B605D"/>
    <w:rsid w:val="004C2CDE"/>
    <w:rsid w:val="004C3940"/>
    <w:rsid w:val="004C6472"/>
    <w:rsid w:val="004D1D3F"/>
    <w:rsid w:val="004D452F"/>
    <w:rsid w:val="004D5EEE"/>
    <w:rsid w:val="004E45F6"/>
    <w:rsid w:val="004E4FC5"/>
    <w:rsid w:val="004E5F8A"/>
    <w:rsid w:val="004E700F"/>
    <w:rsid w:val="004E7A69"/>
    <w:rsid w:val="004F26EC"/>
    <w:rsid w:val="005006B3"/>
    <w:rsid w:val="00503506"/>
    <w:rsid w:val="00507183"/>
    <w:rsid w:val="005145CB"/>
    <w:rsid w:val="00517097"/>
    <w:rsid w:val="005225A7"/>
    <w:rsid w:val="005335E6"/>
    <w:rsid w:val="00534D36"/>
    <w:rsid w:val="00536C0F"/>
    <w:rsid w:val="00541760"/>
    <w:rsid w:val="00541C1E"/>
    <w:rsid w:val="005431B8"/>
    <w:rsid w:val="0055115A"/>
    <w:rsid w:val="0055485D"/>
    <w:rsid w:val="005559CF"/>
    <w:rsid w:val="00556826"/>
    <w:rsid w:val="00562943"/>
    <w:rsid w:val="005736D9"/>
    <w:rsid w:val="00573832"/>
    <w:rsid w:val="005840AE"/>
    <w:rsid w:val="005873B8"/>
    <w:rsid w:val="00595348"/>
    <w:rsid w:val="00595798"/>
    <w:rsid w:val="005A02C5"/>
    <w:rsid w:val="005A4899"/>
    <w:rsid w:val="005A5CB6"/>
    <w:rsid w:val="005B2ABF"/>
    <w:rsid w:val="005B6C66"/>
    <w:rsid w:val="005B74BD"/>
    <w:rsid w:val="005C7857"/>
    <w:rsid w:val="005D1A3E"/>
    <w:rsid w:val="005D2F15"/>
    <w:rsid w:val="005D3DC0"/>
    <w:rsid w:val="005E1B51"/>
    <w:rsid w:val="005E7D4C"/>
    <w:rsid w:val="005F6D3A"/>
    <w:rsid w:val="00600AB0"/>
    <w:rsid w:val="00604BE8"/>
    <w:rsid w:val="00605A3C"/>
    <w:rsid w:val="00615769"/>
    <w:rsid w:val="006179EA"/>
    <w:rsid w:val="00621954"/>
    <w:rsid w:val="00622318"/>
    <w:rsid w:val="00623BCF"/>
    <w:rsid w:val="00626767"/>
    <w:rsid w:val="00632F9F"/>
    <w:rsid w:val="0063513B"/>
    <w:rsid w:val="00636FF4"/>
    <w:rsid w:val="0064078B"/>
    <w:rsid w:val="00642CF7"/>
    <w:rsid w:val="00645511"/>
    <w:rsid w:val="006460D5"/>
    <w:rsid w:val="0065094D"/>
    <w:rsid w:val="00650C36"/>
    <w:rsid w:val="00651425"/>
    <w:rsid w:val="00652277"/>
    <w:rsid w:val="006526ED"/>
    <w:rsid w:val="00652804"/>
    <w:rsid w:val="00660E40"/>
    <w:rsid w:val="006623EA"/>
    <w:rsid w:val="0067335B"/>
    <w:rsid w:val="006769A3"/>
    <w:rsid w:val="00680611"/>
    <w:rsid w:val="006806F5"/>
    <w:rsid w:val="00684172"/>
    <w:rsid w:val="00686DDA"/>
    <w:rsid w:val="006870B3"/>
    <w:rsid w:val="00693F1A"/>
    <w:rsid w:val="006A399C"/>
    <w:rsid w:val="006A40E5"/>
    <w:rsid w:val="006A556B"/>
    <w:rsid w:val="006A713E"/>
    <w:rsid w:val="006A7199"/>
    <w:rsid w:val="006B116D"/>
    <w:rsid w:val="006B13C3"/>
    <w:rsid w:val="006B1D16"/>
    <w:rsid w:val="006B5D2B"/>
    <w:rsid w:val="006C2609"/>
    <w:rsid w:val="006C2C8E"/>
    <w:rsid w:val="006C5863"/>
    <w:rsid w:val="006C5928"/>
    <w:rsid w:val="006E0C21"/>
    <w:rsid w:val="006E1063"/>
    <w:rsid w:val="006E58A4"/>
    <w:rsid w:val="006F3D95"/>
    <w:rsid w:val="006F5CC5"/>
    <w:rsid w:val="006F5FF4"/>
    <w:rsid w:val="00704BEE"/>
    <w:rsid w:val="0070676D"/>
    <w:rsid w:val="00714777"/>
    <w:rsid w:val="007160A7"/>
    <w:rsid w:val="00720277"/>
    <w:rsid w:val="007202B8"/>
    <w:rsid w:val="00725DAA"/>
    <w:rsid w:val="007272BA"/>
    <w:rsid w:val="00734492"/>
    <w:rsid w:val="00737397"/>
    <w:rsid w:val="00743355"/>
    <w:rsid w:val="0074760E"/>
    <w:rsid w:val="00756114"/>
    <w:rsid w:val="00761172"/>
    <w:rsid w:val="007666BD"/>
    <w:rsid w:val="007729FC"/>
    <w:rsid w:val="00773B90"/>
    <w:rsid w:val="0077584E"/>
    <w:rsid w:val="00780F3A"/>
    <w:rsid w:val="00784BC9"/>
    <w:rsid w:val="00784C6E"/>
    <w:rsid w:val="00792A36"/>
    <w:rsid w:val="007935CA"/>
    <w:rsid w:val="00794284"/>
    <w:rsid w:val="00797B77"/>
    <w:rsid w:val="007A01EC"/>
    <w:rsid w:val="007A1114"/>
    <w:rsid w:val="007A2F42"/>
    <w:rsid w:val="007A3DD8"/>
    <w:rsid w:val="007A7C6A"/>
    <w:rsid w:val="007A7DDA"/>
    <w:rsid w:val="007B1090"/>
    <w:rsid w:val="007B5791"/>
    <w:rsid w:val="007C757F"/>
    <w:rsid w:val="007D3BD5"/>
    <w:rsid w:val="007D6436"/>
    <w:rsid w:val="007E72FB"/>
    <w:rsid w:val="007F4ED9"/>
    <w:rsid w:val="007F58E6"/>
    <w:rsid w:val="007F75AE"/>
    <w:rsid w:val="00801195"/>
    <w:rsid w:val="008030F9"/>
    <w:rsid w:val="0080382B"/>
    <w:rsid w:val="008055FB"/>
    <w:rsid w:val="00815CD1"/>
    <w:rsid w:val="00816D57"/>
    <w:rsid w:val="00821CB6"/>
    <w:rsid w:val="0082360F"/>
    <w:rsid w:val="00824504"/>
    <w:rsid w:val="00831816"/>
    <w:rsid w:val="00834413"/>
    <w:rsid w:val="008358C3"/>
    <w:rsid w:val="00840D4F"/>
    <w:rsid w:val="008508EE"/>
    <w:rsid w:val="00851F23"/>
    <w:rsid w:val="00852024"/>
    <w:rsid w:val="00855249"/>
    <w:rsid w:val="008577AC"/>
    <w:rsid w:val="008609FE"/>
    <w:rsid w:val="00863FE5"/>
    <w:rsid w:val="00864D40"/>
    <w:rsid w:val="008665EB"/>
    <w:rsid w:val="00867E02"/>
    <w:rsid w:val="00870D33"/>
    <w:rsid w:val="0087397E"/>
    <w:rsid w:val="00873C3E"/>
    <w:rsid w:val="008744FD"/>
    <w:rsid w:val="00875BA6"/>
    <w:rsid w:val="00876D48"/>
    <w:rsid w:val="0088767E"/>
    <w:rsid w:val="00893552"/>
    <w:rsid w:val="008938DE"/>
    <w:rsid w:val="00893A2F"/>
    <w:rsid w:val="008943A2"/>
    <w:rsid w:val="00896445"/>
    <w:rsid w:val="008A6B7B"/>
    <w:rsid w:val="008A7A82"/>
    <w:rsid w:val="008B0FA7"/>
    <w:rsid w:val="008B4FD7"/>
    <w:rsid w:val="008B7B4D"/>
    <w:rsid w:val="008C5C52"/>
    <w:rsid w:val="008D1E50"/>
    <w:rsid w:val="008D2F31"/>
    <w:rsid w:val="008D643F"/>
    <w:rsid w:val="008E4592"/>
    <w:rsid w:val="008E5D05"/>
    <w:rsid w:val="008E79C5"/>
    <w:rsid w:val="008F3C40"/>
    <w:rsid w:val="008F4F63"/>
    <w:rsid w:val="008F5AA9"/>
    <w:rsid w:val="008F6750"/>
    <w:rsid w:val="00900E41"/>
    <w:rsid w:val="00904459"/>
    <w:rsid w:val="009077FC"/>
    <w:rsid w:val="009108DC"/>
    <w:rsid w:val="0091435F"/>
    <w:rsid w:val="0091679F"/>
    <w:rsid w:val="00925DCE"/>
    <w:rsid w:val="00934979"/>
    <w:rsid w:val="00936E08"/>
    <w:rsid w:val="009408BF"/>
    <w:rsid w:val="009458B8"/>
    <w:rsid w:val="0095177C"/>
    <w:rsid w:val="009603B9"/>
    <w:rsid w:val="00965568"/>
    <w:rsid w:val="00972DDF"/>
    <w:rsid w:val="00976F66"/>
    <w:rsid w:val="009772FD"/>
    <w:rsid w:val="00982FEF"/>
    <w:rsid w:val="00983169"/>
    <w:rsid w:val="009867E1"/>
    <w:rsid w:val="00987C8B"/>
    <w:rsid w:val="00991393"/>
    <w:rsid w:val="00991EA1"/>
    <w:rsid w:val="00994CA2"/>
    <w:rsid w:val="009A65DE"/>
    <w:rsid w:val="009A6F05"/>
    <w:rsid w:val="009B1CA6"/>
    <w:rsid w:val="009B518F"/>
    <w:rsid w:val="009B5A18"/>
    <w:rsid w:val="009C2562"/>
    <w:rsid w:val="009C29CB"/>
    <w:rsid w:val="009C2DDE"/>
    <w:rsid w:val="009D31DF"/>
    <w:rsid w:val="009D504D"/>
    <w:rsid w:val="009E47B3"/>
    <w:rsid w:val="009F0EA0"/>
    <w:rsid w:val="009F2BFE"/>
    <w:rsid w:val="00A04E28"/>
    <w:rsid w:val="00A06F32"/>
    <w:rsid w:val="00A070B6"/>
    <w:rsid w:val="00A10AAC"/>
    <w:rsid w:val="00A129C3"/>
    <w:rsid w:val="00A146FE"/>
    <w:rsid w:val="00A1671B"/>
    <w:rsid w:val="00A17349"/>
    <w:rsid w:val="00A21D4C"/>
    <w:rsid w:val="00A23758"/>
    <w:rsid w:val="00A27E45"/>
    <w:rsid w:val="00A35AA6"/>
    <w:rsid w:val="00A40D0E"/>
    <w:rsid w:val="00A44574"/>
    <w:rsid w:val="00A47BAF"/>
    <w:rsid w:val="00A50B60"/>
    <w:rsid w:val="00A51FF7"/>
    <w:rsid w:val="00A520E7"/>
    <w:rsid w:val="00A52CE7"/>
    <w:rsid w:val="00A537AC"/>
    <w:rsid w:val="00A56C42"/>
    <w:rsid w:val="00A61168"/>
    <w:rsid w:val="00A74E14"/>
    <w:rsid w:val="00A75283"/>
    <w:rsid w:val="00A8298F"/>
    <w:rsid w:val="00A93862"/>
    <w:rsid w:val="00A94FFF"/>
    <w:rsid w:val="00AA1182"/>
    <w:rsid w:val="00AA5C19"/>
    <w:rsid w:val="00AB1BFF"/>
    <w:rsid w:val="00AC07D1"/>
    <w:rsid w:val="00AC1B3F"/>
    <w:rsid w:val="00AC2685"/>
    <w:rsid w:val="00AC521D"/>
    <w:rsid w:val="00AC670A"/>
    <w:rsid w:val="00AD1579"/>
    <w:rsid w:val="00AD1945"/>
    <w:rsid w:val="00AD5B83"/>
    <w:rsid w:val="00AD730B"/>
    <w:rsid w:val="00AE01FC"/>
    <w:rsid w:val="00AF443D"/>
    <w:rsid w:val="00AF4816"/>
    <w:rsid w:val="00AF6CE6"/>
    <w:rsid w:val="00B01AEA"/>
    <w:rsid w:val="00B0471A"/>
    <w:rsid w:val="00B0613E"/>
    <w:rsid w:val="00B135C6"/>
    <w:rsid w:val="00B13907"/>
    <w:rsid w:val="00B144B1"/>
    <w:rsid w:val="00B234D0"/>
    <w:rsid w:val="00B24070"/>
    <w:rsid w:val="00B25BB9"/>
    <w:rsid w:val="00B33580"/>
    <w:rsid w:val="00B33FF8"/>
    <w:rsid w:val="00B34894"/>
    <w:rsid w:val="00B360A0"/>
    <w:rsid w:val="00B458FC"/>
    <w:rsid w:val="00B45937"/>
    <w:rsid w:val="00B669E4"/>
    <w:rsid w:val="00B721F4"/>
    <w:rsid w:val="00B77A83"/>
    <w:rsid w:val="00B77C71"/>
    <w:rsid w:val="00B80A75"/>
    <w:rsid w:val="00B86197"/>
    <w:rsid w:val="00B868D2"/>
    <w:rsid w:val="00B94951"/>
    <w:rsid w:val="00B97997"/>
    <w:rsid w:val="00BA0A62"/>
    <w:rsid w:val="00BA11B4"/>
    <w:rsid w:val="00BB0090"/>
    <w:rsid w:val="00BB19BC"/>
    <w:rsid w:val="00BB21F5"/>
    <w:rsid w:val="00BB24A9"/>
    <w:rsid w:val="00BB30C6"/>
    <w:rsid w:val="00BB33C5"/>
    <w:rsid w:val="00BB48CA"/>
    <w:rsid w:val="00BC217F"/>
    <w:rsid w:val="00BC3DBF"/>
    <w:rsid w:val="00BC6CD2"/>
    <w:rsid w:val="00BD1E37"/>
    <w:rsid w:val="00BD365A"/>
    <w:rsid w:val="00BD3D0F"/>
    <w:rsid w:val="00BD6AAA"/>
    <w:rsid w:val="00BD75BB"/>
    <w:rsid w:val="00BE3817"/>
    <w:rsid w:val="00BE4319"/>
    <w:rsid w:val="00BE4B70"/>
    <w:rsid w:val="00BE5045"/>
    <w:rsid w:val="00BE7D25"/>
    <w:rsid w:val="00C03D8C"/>
    <w:rsid w:val="00C03F3B"/>
    <w:rsid w:val="00C12054"/>
    <w:rsid w:val="00C14121"/>
    <w:rsid w:val="00C205C7"/>
    <w:rsid w:val="00C2203E"/>
    <w:rsid w:val="00C26690"/>
    <w:rsid w:val="00C32D95"/>
    <w:rsid w:val="00C34D28"/>
    <w:rsid w:val="00C34E75"/>
    <w:rsid w:val="00C42CE9"/>
    <w:rsid w:val="00C44055"/>
    <w:rsid w:val="00C46D48"/>
    <w:rsid w:val="00C47805"/>
    <w:rsid w:val="00C67818"/>
    <w:rsid w:val="00C722B5"/>
    <w:rsid w:val="00C760FD"/>
    <w:rsid w:val="00C83E9F"/>
    <w:rsid w:val="00C904BA"/>
    <w:rsid w:val="00C948B6"/>
    <w:rsid w:val="00CA4B15"/>
    <w:rsid w:val="00CB0229"/>
    <w:rsid w:val="00CB63A8"/>
    <w:rsid w:val="00CC2441"/>
    <w:rsid w:val="00CC5114"/>
    <w:rsid w:val="00CC5706"/>
    <w:rsid w:val="00CC6786"/>
    <w:rsid w:val="00CD09CA"/>
    <w:rsid w:val="00CD0D07"/>
    <w:rsid w:val="00CD104A"/>
    <w:rsid w:val="00CD1451"/>
    <w:rsid w:val="00CD22DB"/>
    <w:rsid w:val="00CD332C"/>
    <w:rsid w:val="00CD67DD"/>
    <w:rsid w:val="00CE2E2C"/>
    <w:rsid w:val="00CE46D9"/>
    <w:rsid w:val="00CE5AB5"/>
    <w:rsid w:val="00CE6159"/>
    <w:rsid w:val="00CE7DD0"/>
    <w:rsid w:val="00CF07D3"/>
    <w:rsid w:val="00CF1348"/>
    <w:rsid w:val="00CF3E76"/>
    <w:rsid w:val="00CF5236"/>
    <w:rsid w:val="00CF55EA"/>
    <w:rsid w:val="00CF6F27"/>
    <w:rsid w:val="00D031B0"/>
    <w:rsid w:val="00D10C58"/>
    <w:rsid w:val="00D12D38"/>
    <w:rsid w:val="00D13192"/>
    <w:rsid w:val="00D13AD2"/>
    <w:rsid w:val="00D1686B"/>
    <w:rsid w:val="00D20882"/>
    <w:rsid w:val="00D229FE"/>
    <w:rsid w:val="00D259D5"/>
    <w:rsid w:val="00D354A8"/>
    <w:rsid w:val="00D360BE"/>
    <w:rsid w:val="00D4396C"/>
    <w:rsid w:val="00D606DC"/>
    <w:rsid w:val="00D62C77"/>
    <w:rsid w:val="00D7217F"/>
    <w:rsid w:val="00D736BC"/>
    <w:rsid w:val="00D73F10"/>
    <w:rsid w:val="00D7483F"/>
    <w:rsid w:val="00D76C98"/>
    <w:rsid w:val="00D77026"/>
    <w:rsid w:val="00D7708D"/>
    <w:rsid w:val="00D83BA3"/>
    <w:rsid w:val="00D85801"/>
    <w:rsid w:val="00D85DBA"/>
    <w:rsid w:val="00D91206"/>
    <w:rsid w:val="00D955F3"/>
    <w:rsid w:val="00DA0AC6"/>
    <w:rsid w:val="00DA5A88"/>
    <w:rsid w:val="00DB77C2"/>
    <w:rsid w:val="00DB7AFC"/>
    <w:rsid w:val="00DC3D4B"/>
    <w:rsid w:val="00DC602D"/>
    <w:rsid w:val="00DC6A23"/>
    <w:rsid w:val="00DC7517"/>
    <w:rsid w:val="00DD4F70"/>
    <w:rsid w:val="00DE3B67"/>
    <w:rsid w:val="00DF6857"/>
    <w:rsid w:val="00E019CE"/>
    <w:rsid w:val="00E12C7B"/>
    <w:rsid w:val="00E13039"/>
    <w:rsid w:val="00E23C7A"/>
    <w:rsid w:val="00E27D36"/>
    <w:rsid w:val="00E3125F"/>
    <w:rsid w:val="00E334F5"/>
    <w:rsid w:val="00E43EFF"/>
    <w:rsid w:val="00E461E9"/>
    <w:rsid w:val="00E6239E"/>
    <w:rsid w:val="00E63BF8"/>
    <w:rsid w:val="00E66D64"/>
    <w:rsid w:val="00E67C5D"/>
    <w:rsid w:val="00E67EFF"/>
    <w:rsid w:val="00E76345"/>
    <w:rsid w:val="00E76F34"/>
    <w:rsid w:val="00E80217"/>
    <w:rsid w:val="00E83B22"/>
    <w:rsid w:val="00E8400B"/>
    <w:rsid w:val="00E877A3"/>
    <w:rsid w:val="00E9034C"/>
    <w:rsid w:val="00E96F11"/>
    <w:rsid w:val="00EA2FC5"/>
    <w:rsid w:val="00EA3DD1"/>
    <w:rsid w:val="00EB48FE"/>
    <w:rsid w:val="00EB7176"/>
    <w:rsid w:val="00EC1F8F"/>
    <w:rsid w:val="00EC350B"/>
    <w:rsid w:val="00EC3853"/>
    <w:rsid w:val="00EC426B"/>
    <w:rsid w:val="00EC4BC8"/>
    <w:rsid w:val="00EC5C96"/>
    <w:rsid w:val="00ED401A"/>
    <w:rsid w:val="00EE38D5"/>
    <w:rsid w:val="00EE634E"/>
    <w:rsid w:val="00EE7C56"/>
    <w:rsid w:val="00EF07A0"/>
    <w:rsid w:val="00EF3FEB"/>
    <w:rsid w:val="00EF7812"/>
    <w:rsid w:val="00F11A66"/>
    <w:rsid w:val="00F157CC"/>
    <w:rsid w:val="00F1721A"/>
    <w:rsid w:val="00F205D4"/>
    <w:rsid w:val="00F21606"/>
    <w:rsid w:val="00F35D34"/>
    <w:rsid w:val="00F3689E"/>
    <w:rsid w:val="00F40E21"/>
    <w:rsid w:val="00F42FB1"/>
    <w:rsid w:val="00F43992"/>
    <w:rsid w:val="00F45229"/>
    <w:rsid w:val="00F45F3C"/>
    <w:rsid w:val="00F502A5"/>
    <w:rsid w:val="00F56879"/>
    <w:rsid w:val="00F65C0F"/>
    <w:rsid w:val="00F7177F"/>
    <w:rsid w:val="00F71A28"/>
    <w:rsid w:val="00F757CC"/>
    <w:rsid w:val="00F75A45"/>
    <w:rsid w:val="00F77C5C"/>
    <w:rsid w:val="00F80E50"/>
    <w:rsid w:val="00F81DD9"/>
    <w:rsid w:val="00F85DF6"/>
    <w:rsid w:val="00F8636F"/>
    <w:rsid w:val="00F90AC0"/>
    <w:rsid w:val="00F90F14"/>
    <w:rsid w:val="00F95776"/>
    <w:rsid w:val="00F96376"/>
    <w:rsid w:val="00FB3A52"/>
    <w:rsid w:val="00FB5F7A"/>
    <w:rsid w:val="00FC10F4"/>
    <w:rsid w:val="00FC2A67"/>
    <w:rsid w:val="00FC429C"/>
    <w:rsid w:val="00FC7C66"/>
    <w:rsid w:val="00FD2FE3"/>
    <w:rsid w:val="00FD3534"/>
    <w:rsid w:val="00FD683B"/>
    <w:rsid w:val="00FF0771"/>
    <w:rsid w:val="00FF09E7"/>
    <w:rsid w:val="00FF0DBB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mo.m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malyk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5A4C-DD6E-49A9-89CE-022E4194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83</cp:revision>
  <cp:lastPrinted>2023-04-13T06:02:00Z</cp:lastPrinted>
  <dcterms:created xsi:type="dcterms:W3CDTF">2022-01-11T11:56:00Z</dcterms:created>
  <dcterms:modified xsi:type="dcterms:W3CDTF">2023-04-13T06:02:00Z</dcterms:modified>
</cp:coreProperties>
</file>