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к постановлению администрации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«Новомалыклинский район»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«     » ____________ 20___ г.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1"/>
        <w:rPr/>
      </w:pPr>
      <w:r>
        <w:rPr/>
      </w:r>
    </w:p>
    <w:p>
      <w:pPr>
        <w:pStyle w:val="ConsPlusNormal1"/>
        <w:ind w:left="4962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/>
          <w:sz w:val="28"/>
          <w:szCs w:val="28"/>
        </w:rPr>
      </w:pPr>
      <w:bookmarkStart w:id="0" w:name="P342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ConsPlus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ConsPlus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2" w:type="dxa"/>
        <w:jc w:val="left"/>
        <w:tblInd w:w="-10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889"/>
        <w:gridCol w:w="5712"/>
      </w:tblGrid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«Молодежь»</w:t>
            </w:r>
          </w:p>
        </w:tc>
      </w:tr>
      <w:tr>
        <w:trPr>
          <w:trHeight w:val="585" w:hRule="atLeast"/>
        </w:trPr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«Новомалыклинский район» (далее — администрация района)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(соисполнители)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образования «Новомалыклинский район» (далее — МУ Управление образования);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делам молодежи администрации муниципального образования «Новомалыклинский район» (далее — отдел по делам молодежи);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делам культуры администрации муниципального образования «Новомалыклинский район» (далее — отдел по делам культуры).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не предусмотрены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Проекты не предусмотрены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Вовлечение молодежи в широкий спектр социально - значимых видов деятельности;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Обеспечение эффективной социализации молодежи, находящейся в трудной жизненной ситуации;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Решение проблемы занятости молодежи, в том числе оздоровления, труда и отдыха в период летних каникул;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Пропаганда здорового образа жизни среди молодежи;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Профилактика этнического и религиозно-политического экстремизма в молодежной среде;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Гражданско-патриотическое и духовно-нравственное воспитание молодежи, формирование активной гражданской позиции;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Привлечение молодежи Новомалыклинского района к участию в федеральных и региональных целевых программах;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Организация массовых районных молодёжных мероприятий (акции, фестивали, чемпионаты);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Поддержка деятельности общественных организаций и объединений, работающих с молодежью;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Поддержка талантливой и одаренной молодежи;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r>
              <w:rPr>
                <w:rFonts w:eastAsia="Courier New" w:ascii="Times New Roman" w:hAnsi="Times New Roman"/>
                <w:sz w:val="28"/>
                <w:szCs w:val="28"/>
              </w:rPr>
              <w:t>Информационно-методическое обеспечение молодежной политики.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ourier New"/>
                <w:sz w:val="28"/>
                <w:szCs w:val="28"/>
              </w:rPr>
            </w:pPr>
            <w:bookmarkStart w:id="1" w:name="__DdeLink__1524_1701704578"/>
            <w:r>
              <w:rPr>
                <w:rFonts w:eastAsia="Courier New" w:ascii="Times New Roman" w:hAnsi="Times New Roman"/>
                <w:sz w:val="28"/>
                <w:szCs w:val="28"/>
              </w:rPr>
              <w:t>Удельный вес численности молодых людей в возрасте от 14 до 35 лет, участвующих в деятельности молодежных общественных объединений от общей численности молодых людей в возрасте от 14 до 35 лет</w:t>
            </w:r>
            <w:bookmarkEnd w:id="1"/>
            <w:r>
              <w:rPr>
                <w:rFonts w:eastAsia="Courier New" w:ascii="Times New Roman" w:hAnsi="Times New Roman"/>
                <w:sz w:val="28"/>
                <w:szCs w:val="28"/>
              </w:rPr>
              <w:t xml:space="preserve"> (целевое значение в 2022 году - 4 процента, в 2023 году 5 процентов, в 2024 году – 6 процентов, в 2025 году 7 процентов, в 2026 году – 8 процентов);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молодых людей в возрасте от 14 до 35 лет, принимающих участие в добровольческой (волонтёрской) деятельности в общей численности молодых людей в возрасте от 14 до 35 лет </w:t>
            </w:r>
            <w:r>
              <w:rPr>
                <w:rFonts w:eastAsia="Courier New" w:ascii="Times New Roman" w:hAnsi="Times New Roman"/>
                <w:sz w:val="28"/>
                <w:szCs w:val="28"/>
              </w:rPr>
              <w:t>(целевое значение в 2022 году - 4 процента, в 2023 году 5 процентов, в 2024 году – 6 процентов, в 2025 году 7 процентов, в 2026 году – 8 процентов);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молодых людей в возрасте от 14 до 35 лет, находящихся в трудной жизненной ситуации, вовлечённых в деятельность молодежных </w:t>
            </w:r>
            <w:r>
              <w:rPr>
                <w:rFonts w:eastAsia="Courier New" w:ascii="Times New Roman" w:hAnsi="Times New Roman"/>
                <w:sz w:val="28"/>
                <w:szCs w:val="28"/>
              </w:rPr>
              <w:t>общественных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(целевое значение в 2022 году - не менее 10 человек, в 2023 году не менее 15 человек, в 2024 году - не менее 20 человек, в 2025 году – не менее 25 человек, в 2026 году - не менее 30 человек);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Удельный вес численности молодых людей в возрасте от 14 до 35 лет, участвующих в работе органов молодёжного самоуправления от</w:t>
            </w:r>
            <w:r>
              <w:rPr>
                <w:rFonts w:eastAsia="Courier New" w:ascii="Times New Roman" w:hAnsi="Times New Roman"/>
                <w:sz w:val="28"/>
                <w:szCs w:val="28"/>
              </w:rPr>
              <w:t xml:space="preserve"> общей численности молодых людей в возрасте от 14 до 35 лет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(целевое значение в 2022 году - не менее 4 процентов, в 2020 году - не менее 5 процентов, в 2021 году - не менее 6 процентов, в 2022 году – не менее 7 процентов, в 2023 году – не менее 8 процентов).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предусматривается в течение 2023-2027 годов в один этап.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необходимых финансовых средств из бюджета муниципального образования «Новомалыклинский район» для реализации программы составляет – 500 т.р.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-40 т.р.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-40 т.р.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-40 т.р.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-40 т.р.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-40 т.р.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Проекты не предусмотрены</w:t>
            </w:r>
          </w:p>
        </w:tc>
      </w:tr>
      <w:tr>
        <w:trPr/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8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2026 году в результате выполнения Программы будут получены следующие результаты, определяющие её социально-экономическую эффективность: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социальной напряженности в молодежной среде;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духовно-нравственного, интеллектуального и творческого потенциала;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состояния здоровья, снижение смертности, наркомании в молодежной среде;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преступности среди молодежи;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молодёжи, участвующей в добровольческой (волонтёрской) деятельности, до 5 процентов;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молодых людей, участвующих в работе органов молодёжного самоуправления,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менее 5 процентов;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молодых людей, находящихся в трудной жизненной ситуации, вовлечённых в проектную деятельность, не менее 50 человек.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позволит сохранить устойчивую тенденцию роста: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численности молодых людей, охваченных деятельностью молодежных общественных объединений.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14317" w:leader="none"/>
        </w:tabs>
        <w:spacing w:lineRule="atLeast" w:line="269" w:before="108" w:after="108"/>
        <w:ind w:right="-17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1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0" w:leader="none"/>
        </w:tabs>
        <w:spacing w:lineRule="atLeast" w:line="269" w:before="108" w:after="108"/>
        <w:ind w:left="0" w:hanging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/>
          <w:sz w:val="28"/>
          <w:szCs w:val="28"/>
        </w:rPr>
      </w:pPr>
      <w:bookmarkStart w:id="2" w:name="P378"/>
      <w:bookmarkEnd w:id="2"/>
      <w:r>
        <w:rPr>
          <w:rFonts w:ascii="Times New Roman" w:hAnsi="Times New Roman"/>
          <w:sz w:val="28"/>
          <w:szCs w:val="28"/>
        </w:rPr>
        <w:t>Перечень целевых индикаторов муниципальной программы</w:t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24" w:type="dxa"/>
        <w:jc w:val="left"/>
        <w:tblInd w:w="-10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12"/>
        <w:gridCol w:w="5451"/>
        <w:gridCol w:w="1191"/>
        <w:gridCol w:w="1294"/>
        <w:gridCol w:w="1111"/>
        <w:gridCol w:w="1275"/>
        <w:gridCol w:w="1279"/>
        <w:gridCol w:w="1275"/>
        <w:gridCol w:w="1134"/>
      </w:tblGrid>
      <w:tr>
        <w:trPr/>
        <w:tc>
          <w:tcPr>
            <w:tcW w:w="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60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>
        <w:trPr/>
        <w:tc>
          <w:tcPr>
            <w:tcW w:w="5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>
        <w:trPr/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eastAsia="Courier New"/>
                <w:sz w:val="24"/>
                <w:szCs w:val="24"/>
              </w:rPr>
            </w:pPr>
            <w:r>
              <w:rPr>
                <w:rFonts w:eastAsia="Courier New" w:ascii="Times New Roman" w:hAnsi="Times New Roman"/>
                <w:sz w:val="24"/>
                <w:szCs w:val="24"/>
              </w:rPr>
              <w:t>Удельный вес численности молодых людей в возрасте от 14 до 35 лет, участвующих в деятельности молодежных общественных объединений от общей численности молодых людей в возрасте от 14 до 35 лет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молодых людей в возрасте от 14 до 35 лет, принимающих участие в добровольческой (волонтёрской) деятельности, в общей численности молодых людей от 14 до 35 лет.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ourier New" w:ascii="Times New Roman" w:hAnsi="Times New Roman"/>
                <w:sz w:val="24"/>
                <w:szCs w:val="24"/>
              </w:rPr>
              <w:t>Количество молодых людей в возрасте от 14 до 35 лет, находящихся в трудной жизненной ситуации, вовлечённых в деятельность молодежных общественных объединений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людей в возрасте от 14 до 35 лет, участвующих в работе органов молодёжного самоуправления, </w:t>
            </w:r>
            <w:r>
              <w:rPr>
                <w:rFonts w:eastAsia="Courier New" w:ascii="Times New Roman" w:hAnsi="Times New Roman"/>
                <w:sz w:val="24"/>
                <w:szCs w:val="24"/>
              </w:rPr>
              <w:t>в общей численности молодых людей от 14 до 35 лет.</w:t>
            </w:r>
          </w:p>
          <w:p>
            <w:pPr>
              <w:pStyle w:val="Normal"/>
              <w:widowControl w:val="false"/>
              <w:spacing w:before="0" w:after="200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>
      <w:pPr>
        <w:pStyle w:val="ConsPlus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16838" w:h="11906"/>
          <w:pgMar w:left="1701" w:right="820" w:gutter="0" w:header="0" w:top="1134" w:footer="0" w:bottom="851"/>
          <w:pgNumType w:fmt="decimal"/>
          <w:formProt w:val="false"/>
          <w:textDirection w:val="lrTb"/>
          <w:docGrid w:type="default" w:linePitch="360" w:charSpace="20480"/>
        </w:sect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2 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>
      <w:pPr>
        <w:pStyle w:val="ConsPlusNormal1"/>
        <w:numPr>
          <w:ilvl w:val="0"/>
          <w:numId w:val="0"/>
        </w:numPr>
        <w:ind w:left="9639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мероприятий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pPr w:bottomFromText="0" w:horzAnchor="margin" w:leftFromText="181" w:rightFromText="181" w:tblpX="0" w:tblpY="1" w:topFromText="0" w:vertAnchor="text"/>
        <w:tblW w:w="14570" w:type="dxa"/>
        <w:jc w:val="left"/>
        <w:tblInd w:w="-5" w:type="dxa"/>
        <w:tblLayout w:type="fixed"/>
        <w:tblCellMar>
          <w:top w:w="102" w:type="dxa"/>
          <w:left w:w="3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2"/>
        <w:gridCol w:w="2458"/>
        <w:gridCol w:w="1658"/>
        <w:gridCol w:w="1849"/>
        <w:gridCol w:w="2261"/>
        <w:gridCol w:w="970"/>
        <w:gridCol w:w="962"/>
        <w:gridCol w:w="960"/>
        <w:gridCol w:w="963"/>
        <w:gridCol w:w="962"/>
        <w:gridCol w:w="963"/>
      </w:tblGrid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реализации мероприятий 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годам, тыс. руб.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условий для гражданского становления, духовно-нравственного и патриотического воспитания молодёжи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бюджета МО «Новомалыклинский  район» Ульяновской 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 (далее – местный бюджет)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для призывной и допризывной молодёжи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призывника, встречи с ветеранами войн и воинских конфликтов, областные соревнования)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431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турнира по греко-римской борьбе посвященной памяти воинов погибших в локальных войнах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мероприятий, посвященных победе в Великой Отечественной войне 1941-1945 годах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асоциальных явлений в молодёжной среде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«Активом молодежи» акций, направленных на профилактику правонарушений среди несовершеннолетних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 и творческое развитие молодёжи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образования;</w:t>
            </w:r>
          </w:p>
          <w:p>
            <w:pPr>
              <w:pStyle w:val="Normal"/>
              <w:widowControl w:val="fals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массовых молодёжных мероприятий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образования;</w:t>
            </w:r>
          </w:p>
          <w:p>
            <w:pPr>
              <w:pStyle w:val="Normal"/>
              <w:widowControl w:val="fals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жизни, развитие массового молодёжного спорта, детского и семейного отдыха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представителей молодежи  для участия в областных профильных сменах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массовых велопробегов в рамках развития велодвижения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детских и молодёжных  общественных объединений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волонтёрской (добровольческой) и благотворительной деятельности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образования;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делегаций муниципального образования в международных, всероссийских, региональных конференциях, форумах, фестивалях, сборах, слетах.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08" w:after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приглашению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652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ConsPlusNormal1"/>
        <w:numPr>
          <w:ilvl w:val="0"/>
          <w:numId w:val="0"/>
        </w:numPr>
        <w:ind w:left="4962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ConsPlusNormal1"/>
        <w:numPr>
          <w:ilvl w:val="0"/>
          <w:numId w:val="0"/>
        </w:numPr>
        <w:ind w:left="4962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ConsPlusNormal1"/>
        <w:numPr>
          <w:ilvl w:val="0"/>
          <w:numId w:val="0"/>
        </w:numPr>
        <w:ind w:left="0" w:hanging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3" w:name="P774"/>
      <w:bookmarkStart w:id="4" w:name="P774"/>
      <w:bookmarkEnd w:id="4"/>
    </w:p>
    <w:p>
      <w:pPr>
        <w:pStyle w:val="ConsPlusTitle"/>
        <w:jc w:val="center"/>
        <w:rPr>
          <w:b w:val="false"/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 xml:space="preserve">Методика оценки эффективности реализации </w:t>
      </w:r>
    </w:p>
    <w:p>
      <w:pPr>
        <w:pStyle w:val="ConsPlusTitle"/>
        <w:jc w:val="center"/>
        <w:rPr>
          <w:b w:val="false"/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>муниципальной  программы «Молодежь»</w:t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Настоящая Методика устанавливает правила оценки эффективности реализации муниципальной программы «Молодежь» (далее – муниципальная программа) в целом.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Оценка эффективности реализации муниципальной программы осуществляется муниципальным заказчиком муниципальной программы, (муниципальным заказчиком – координатором) (далее – муниципальный заказчик) ежегодно по итогам ее реализации в отчетном финансовом году.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Исходными данными для оценки эффективности реализации муниципальной программы являются: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данные, содержащиеся в годовом отчете о ходе реализации муниципальной программы, подготавливаемом муниципальным заказчиком;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данные, полученные в результате мониторинга хода реализации муниципальной программы, осуществляемого Финансовым управлением, управления экономики;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данные о результатах реализации муниципальной программы, необходимые для оценки эффективности реализации муниципальной программы.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результатам анализа исходных данных муниципальный заказчик оценивает: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плановых значений целевых индикаторов муниципальной программы;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фактического и запланированного объемов финансового обеспечения реализации муниципальной программы;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проектов, реализуемых в составе муниципальной программы.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Оценка эффективности реализации мероприятий муниципальной программы (СДЦ) рассчитывается по следующей формуле в зависимости от динамики значений целевых индикаторов муниципальной программы: </w: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степени достижения значений целевых индикаторов муниципальной программы, предполагающих положительную динамику:</w: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степени достижения значений целевых индикаторов муниципальной программы, предполагающих отрицательную динамику:</w: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201B664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173605" cy="335280"/>
                <wp:effectExtent l="0" t="0" r="0" b="0"/>
                <wp:wrapNone/>
                <wp:docPr id="1" name="Рисуно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33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Рисунок 8" path="m0,0l-2147483645,0l-2147483645,-2147483646l0,-2147483646xe" stroked="f" o:allowincell="f" style="position:absolute;margin-left:0.05pt;margin-top:0.05pt;width:171.05pt;height:26.3pt;mso-wrap-style:none;v-text-anchor:middle" wp14:anchorId="201B664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СДЦ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- степень достижения значения i-ого целевого индикатора;</w: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 - фактическое значение целевого индикатора;</w: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- плановое значение целевого индикатора.</w: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Оценка соотношения фактического и запланированного объемов финансового обеспечения реализации мероприятий  муниципальной программы(УФ) осуществляется по следующей формуле:</w: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119DFC9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706880" cy="468630"/>
                <wp:effectExtent l="0" t="0" r="0" b="0"/>
                <wp:wrapNone/>
                <wp:docPr id="2" name="Рисуно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0" cy="46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Рисунок 9" path="m0,0l-2147483645,0l-2147483645,-2147483646l0,-2147483646xe" stroked="f" o:allowincell="f" style="position:absolute;margin-left:0.05pt;margin-top:0.05pt;width:134.3pt;height:36.8pt;mso-wrap-style:none;v-text-anchor:middle" wp14:anchorId="119DFC9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ФУФ - фактический объем финансового обеспечения реализации муниципальной программы;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УФП - запланированный объем финансового обеспечения реализации муниципальной программы.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Интегральная оценка эффективности реализации муниципальной программы (И) рассчитывается по формуле: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= (СДЦ +УФ) х 100%, где: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- (количество полученных значений, ед.)</w:t>
      </w:r>
    </w:p>
    <w:p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завершении указанной оценки муниципальный заказчик осуществляет интегральную оценку эффективности реализации муниципальной программы и с учетом полученных по её результатам значений определяет степень эффективности реализации муниципальной программы, которая характеризуется следующим образом:</w:t>
      </w:r>
    </w:p>
    <w:p>
      <w:pPr>
        <w:pStyle w:val="ConsPlus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82" w:type="dxa"/>
        <w:jc w:val="left"/>
        <w:tblInd w:w="-10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650"/>
        <w:gridCol w:w="5131"/>
      </w:tblGrid>
      <w:tr>
        <w:trPr/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эффективности реализации муниципальной программы</w:t>
            </w:r>
          </w:p>
        </w:tc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интегральной оценки эффективности реализации муниципальной программы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является эффективной</w:t>
            </w:r>
          </w:p>
        </w:tc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80 процентов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является умеренно эффективной</w:t>
            </w:r>
          </w:p>
        </w:tc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60 до 80 процентов включительно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является неэффективной</w:t>
            </w:r>
          </w:p>
        </w:tc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60 процентов</w:t>
            </w:r>
          </w:p>
        </w:tc>
      </w:tr>
    </w:tbl>
    <w:p>
      <w:pPr>
        <w:pStyle w:val="ConsPlus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567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ylfae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a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Style23"/>
    <w:link w:val="20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98105b"/>
    <w:rPr>
      <w:rFonts w:ascii="Times New Roman" w:hAnsi="Times New Roman" w:cs="Times New Roman"/>
      <w:color w:val="000000"/>
      <w:spacing w:val="9"/>
      <w:sz w:val="24"/>
      <w:szCs w:val="24"/>
      <w:shd w:fill="FFFFFF" w:val="clear"/>
      <w:lang w:eastAsia="zh-CN"/>
    </w:rPr>
  </w:style>
  <w:style w:type="character" w:styleId="Text" w:customStyle="1">
    <w:name w:val="text"/>
    <w:basedOn w:val="DefaultParagraphFont"/>
    <w:uiPriority w:val="99"/>
    <w:qFormat/>
    <w:rsid w:val="00062807"/>
    <w:rPr>
      <w:rFonts w:cs="Times New Roman"/>
    </w:rPr>
  </w:style>
  <w:style w:type="character" w:styleId="Style13" w:customStyle="1">
    <w:name w:val="Интернет-ссылка"/>
    <w:qFormat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997273"/>
    <w:rPr>
      <w:rFonts w:ascii="Sylfaen" w:hAnsi="Sylfaen" w:cs="Sylfaen"/>
      <w:sz w:val="27"/>
      <w:szCs w:val="27"/>
      <w:shd w:fill="FFFFFF" w:val="clear"/>
    </w:rPr>
  </w:style>
  <w:style w:type="character" w:styleId="13pt" w:customStyle="1">
    <w:name w:val="Основной текст + 13 pt"/>
    <w:basedOn w:val="21"/>
    <w:uiPriority w:val="99"/>
    <w:qFormat/>
    <w:rsid w:val="00f91950"/>
    <w:rPr>
      <w:rFonts w:ascii="Sylfaen" w:hAnsi="Sylfaen" w:cs="Sylfaen"/>
      <w:i/>
      <w:iCs/>
      <w:color w:val="000000"/>
      <w:spacing w:val="0"/>
      <w:w w:val="100"/>
      <w:sz w:val="26"/>
      <w:szCs w:val="26"/>
      <w:u w:val="none"/>
      <w:shd w:fill="FFFFFF" w:val="clear"/>
      <w:lang w:val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c63bab"/>
    <w:rPr>
      <w:rFonts w:ascii="Tahoma" w:hAnsi="Tahoma" w:cs="Tahoma"/>
      <w:sz w:val="16"/>
      <w:szCs w:val="16"/>
    </w:rPr>
  </w:style>
  <w:style w:type="character" w:styleId="Style15" w:customStyle="1">
    <w:name w:val="Текст концевой сноски Знак"/>
    <w:basedOn w:val="DefaultParagraphFont"/>
    <w:uiPriority w:val="99"/>
    <w:semiHidden/>
    <w:qFormat/>
    <w:locked/>
    <w:rsid w:val="00c51517"/>
    <w:rPr>
      <w:rFonts w:cs="Times New Roman"/>
      <w:sz w:val="20"/>
      <w:szCs w:val="20"/>
    </w:rPr>
  </w:style>
  <w:style w:type="character" w:styleId="Style16" w:customStyle="1">
    <w:name w:val="Привязка концевой сноски"/>
    <w:rsid w:val="00905efb"/>
    <w:rPr>
      <w:rFonts w:cs="Times New Roman"/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qFormat/>
    <w:rsid w:val="00c51517"/>
    <w:rPr>
      <w:rFonts w:cs="Times New Roman"/>
      <w:vertAlign w:val="superscript"/>
    </w:rPr>
  </w:style>
  <w:style w:type="character" w:styleId="Style17" w:customStyle="1">
    <w:name w:val="Текст сноски Знак"/>
    <w:basedOn w:val="DefaultParagraphFont"/>
    <w:uiPriority w:val="99"/>
    <w:semiHidden/>
    <w:qFormat/>
    <w:locked/>
    <w:rsid w:val="00c51517"/>
    <w:rPr>
      <w:rFonts w:cs="Times New Roman"/>
      <w:sz w:val="20"/>
      <w:szCs w:val="20"/>
    </w:rPr>
  </w:style>
  <w:style w:type="character" w:styleId="Style18" w:customStyle="1">
    <w:name w:val="Привязка сноски"/>
    <w:rsid w:val="00905efb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c51517"/>
    <w:rPr>
      <w:rFonts w:cs="Times New Roman"/>
      <w:vertAlign w:val="superscript"/>
    </w:rPr>
  </w:style>
  <w:style w:type="character" w:styleId="ConsPlusNormal" w:customStyle="1">
    <w:name w:val="ConsPlusNormal Знак"/>
    <w:uiPriority w:val="99"/>
    <w:qFormat/>
    <w:locked/>
    <w:rsid w:val="00cb02a3"/>
    <w:rPr>
      <w:rFonts w:ascii="Arial" w:hAnsi="Arial"/>
      <w:sz w:val="22"/>
      <w:szCs w:val="22"/>
      <w:lang w:eastAsia="zh-CN" w:bidi="ar-SA"/>
    </w:rPr>
  </w:style>
  <w:style w:type="character" w:styleId="3" w:customStyle="1">
    <w:name w:val="Заголовок 3 Знак"/>
    <w:basedOn w:val="DefaultParagraphFont"/>
    <w:semiHidden/>
    <w:qFormat/>
    <w:rsid w:val="00da065e"/>
    <w:rPr>
      <w:rFonts w:ascii="Cambria" w:hAnsi="Cambria" w:eastAsia="Times New Roman" w:cs="Times New Roman"/>
      <w:b/>
      <w:bCs/>
      <w:sz w:val="26"/>
      <w:szCs w:val="26"/>
    </w:rPr>
  </w:style>
  <w:style w:type="character" w:styleId="Style19" w:customStyle="1">
    <w:name w:val="Символ сноски"/>
    <w:qFormat/>
    <w:rsid w:val="00905efb"/>
    <w:rPr/>
  </w:style>
  <w:style w:type="character" w:styleId="Style20" w:customStyle="1">
    <w:name w:val="Символ концевой сноски"/>
    <w:qFormat/>
    <w:rsid w:val="00905efb"/>
    <w:rPr/>
  </w:style>
  <w:style w:type="character" w:styleId="11" w:customStyle="1">
    <w:name w:val="Заголовок 1 Знак1"/>
    <w:basedOn w:val="DefaultParagraphFont"/>
    <w:link w:val="11"/>
    <w:qFormat/>
    <w:rsid w:val="00253e12"/>
    <w:rPr>
      <w:rFonts w:ascii="Times New Roman" w:hAnsi="Times New Roman"/>
      <w:b/>
      <w:bCs/>
      <w:sz w:val="32"/>
      <w:szCs w:val="24"/>
      <w:lang w:eastAsia="ar-SA"/>
    </w:rPr>
  </w:style>
  <w:style w:type="character" w:styleId="31" w:customStyle="1">
    <w:name w:val="Заголовок 3 Знак1"/>
    <w:basedOn w:val="DefaultParagraphFont"/>
    <w:link w:val="31"/>
    <w:qFormat/>
    <w:rsid w:val="00253e12"/>
    <w:rPr>
      <w:rFonts w:ascii="Times New Roman" w:hAnsi="Times New Roman"/>
      <w:b/>
      <w:bCs/>
      <w:sz w:val="52"/>
      <w:szCs w:val="24"/>
      <w:lang w:eastAsia="ar-SA"/>
    </w:rPr>
  </w:style>
  <w:style w:type="character" w:styleId="WW8Num2z0" w:customStyle="1">
    <w:name w:val="WW8Num2z0"/>
    <w:qFormat/>
    <w:rPr>
      <w:rFonts w:ascii="Symbol" w:hAnsi="Symbol" w:cs="OpenSymbol;Arial Unicode MS"/>
      <w:sz w:val="24"/>
      <w:szCs w:val="24"/>
      <w:shd w:fill="FFFFFF" w:val="clear"/>
    </w:rPr>
  </w:style>
  <w:style w:type="character" w:styleId="WW8Num3z0" w:customStyle="1">
    <w:name w:val="WW8Num3z0"/>
    <w:qFormat/>
    <w:rPr>
      <w:rFonts w:ascii="Symbol" w:hAnsi="Symbol" w:cs="OpenSymbol;Arial Unicode MS"/>
      <w:sz w:val="24"/>
      <w:szCs w:val="24"/>
    </w:rPr>
  </w:style>
  <w:style w:type="character" w:styleId="WW8Num5z0" w:customStyle="1">
    <w:name w:val="WW8Num5z0"/>
    <w:qFormat/>
    <w:rPr>
      <w:rFonts w:ascii="Symbol" w:hAnsi="Symbol" w:cs="OpenSymbol;Arial Unicode MS"/>
      <w:sz w:val="24"/>
      <w:szCs w:val="24"/>
    </w:rPr>
  </w:style>
  <w:style w:type="character" w:styleId="WW8Num4z0" w:customStyle="1">
    <w:name w:val="WW8Num4z0"/>
    <w:qFormat/>
    <w:rPr>
      <w:rFonts w:ascii="Symbol" w:hAnsi="Symbol" w:cs="OpenSymbol;Arial Unicode MS"/>
      <w:sz w:val="24"/>
      <w:szCs w:val="24"/>
    </w:rPr>
  </w:style>
  <w:style w:type="character" w:styleId="Style21" w:customStyle="1">
    <w:name w:val="Выделение жирным"/>
    <w:qFormat/>
    <w:rPr>
      <w:b/>
      <w:b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rsid w:val="00905efb"/>
    <w:pPr>
      <w:spacing w:before="0" w:after="140"/>
    </w:pPr>
    <w:rPr/>
  </w:style>
  <w:style w:type="paragraph" w:styleId="Style24">
    <w:name w:val="List"/>
    <w:basedOn w:val="Style23"/>
    <w:rsid w:val="00905efb"/>
    <w:pPr/>
    <w:rPr>
      <w:rFonts w:cs="Mangal"/>
    </w:rPr>
  </w:style>
  <w:style w:type="paragraph" w:styleId="Style25" w:customStyle="1">
    <w:name w:val="Caption"/>
    <w:basedOn w:val="Normal"/>
    <w:qFormat/>
    <w:rsid w:val="00905e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1" w:customStyle="1">
    <w:name w:val="Заголовок 11"/>
    <w:basedOn w:val="Normal"/>
    <w:link w:val="110"/>
    <w:uiPriority w:val="99"/>
    <w:qFormat/>
    <w:rsid w:val="0098105b"/>
    <w:pPr>
      <w:keepNext w:val="true"/>
      <w:shd w:val="clear" w:color="auto" w:fill="FFFFFF"/>
      <w:tabs>
        <w:tab w:val="clear" w:pos="709"/>
        <w:tab w:val="left" w:pos="0" w:leader="none"/>
      </w:tabs>
      <w:suppressAutoHyphens w:val="true"/>
      <w:spacing w:lineRule="exact" w:line="252" w:before="0" w:after="0"/>
      <w:ind w:left="454" w:right="374" w:hanging="454"/>
      <w:jc w:val="center"/>
      <w:outlineLvl w:val="0"/>
    </w:pPr>
    <w:rPr>
      <w:rFonts w:ascii="Times New Roman" w:hAnsi="Times New Roman"/>
      <w:b/>
      <w:color w:val="000000"/>
      <w:spacing w:val="9"/>
      <w:sz w:val="24"/>
      <w:szCs w:val="24"/>
      <w:lang w:eastAsia="zh-CN"/>
    </w:rPr>
  </w:style>
  <w:style w:type="paragraph" w:styleId="311" w:customStyle="1">
    <w:name w:val="Заголовок 31"/>
    <w:basedOn w:val="Normal"/>
    <w:link w:val="310"/>
    <w:semiHidden/>
    <w:unhideWhenUsed/>
    <w:qFormat/>
    <w:locked/>
    <w:rsid w:val="00da065e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12" w:customStyle="1">
    <w:name w:val="Заголовок1"/>
    <w:basedOn w:val="Normal"/>
    <w:next w:val="Style23"/>
    <w:qFormat/>
    <w:rsid w:val="00905ef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rsid w:val="00905efb"/>
    <w:pPr>
      <w:suppressLineNumbers/>
    </w:pPr>
    <w:rPr>
      <w:rFonts w:cs="Mangal"/>
    </w:rPr>
  </w:style>
  <w:style w:type="paragraph" w:styleId="ConsPlusNormal1" w:customStyle="1">
    <w:name w:val="ConsPlusNormal"/>
    <w:uiPriority w:val="99"/>
    <w:qFormat/>
    <w:rsid w:val="0098105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uiPriority w:val="99"/>
    <w:qFormat/>
    <w:rsid w:val="0098105b"/>
    <w:pPr>
      <w:suppressAutoHyphens w:val="true"/>
      <w:ind w:left="720" w:hanging="0"/>
    </w:pPr>
    <w:rPr>
      <w:lang w:eastAsia="zh-CN"/>
    </w:rPr>
  </w:style>
  <w:style w:type="paragraph" w:styleId="NormalWeb">
    <w:name w:val="Normal (Web)"/>
    <w:basedOn w:val="Normal"/>
    <w:uiPriority w:val="99"/>
    <w:qFormat/>
    <w:rsid w:val="0098105b"/>
    <w:pPr>
      <w:suppressAutoHyphens w:val="true"/>
      <w:spacing w:lineRule="auto" w:line="240" w:before="280" w:after="280"/>
    </w:pPr>
    <w:rPr>
      <w:rFonts w:ascii="Times New Roman" w:hAnsi="Times New Roman"/>
      <w:sz w:val="24"/>
      <w:szCs w:val="24"/>
      <w:lang w:eastAsia="zh-CN"/>
    </w:rPr>
  </w:style>
  <w:style w:type="paragraph" w:styleId="ConsPlusTitle" w:customStyle="1">
    <w:name w:val="ConsPlusTitle"/>
    <w:uiPriority w:val="99"/>
    <w:qFormat/>
    <w:rsid w:val="00962d9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A"/>
      <w:kern w:val="0"/>
      <w:sz w:val="24"/>
      <w:szCs w:val="20"/>
      <w:lang w:val="ru-RU" w:eastAsia="ru-RU" w:bidi="ar-SA"/>
    </w:rPr>
  </w:style>
  <w:style w:type="paragraph" w:styleId="NoSpacing">
    <w:name w:val="No Spacing"/>
    <w:uiPriority w:val="99"/>
    <w:qFormat/>
    <w:rsid w:val="008179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2" w:customStyle="1">
    <w:name w:val="Основной текст2"/>
    <w:basedOn w:val="Normal"/>
    <w:uiPriority w:val="99"/>
    <w:qFormat/>
    <w:rsid w:val="00997273"/>
    <w:pPr>
      <w:widowControl w:val="false"/>
      <w:shd w:val="clear" w:color="auto" w:fill="FFFFFF"/>
      <w:spacing w:lineRule="atLeast" w:line="240" w:before="240" w:after="300"/>
      <w:jc w:val="both"/>
    </w:pPr>
    <w:rPr>
      <w:rFonts w:ascii="Sylfaen" w:hAnsi="Sylfaen" w:cs="Sylfaen"/>
      <w:sz w:val="27"/>
      <w:szCs w:val="27"/>
    </w:rPr>
  </w:style>
  <w:style w:type="paragraph" w:styleId="BalloonText">
    <w:name w:val="Balloon Text"/>
    <w:basedOn w:val="Normal"/>
    <w:semiHidden/>
    <w:qFormat/>
    <w:rsid w:val="00c63b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Symbol" w:customStyle="1">
    <w:name w:val="Endnote Symbol"/>
    <w:basedOn w:val="Normal"/>
    <w:uiPriority w:val="99"/>
    <w:semiHidden/>
    <w:qFormat/>
    <w:rsid w:val="00c51517"/>
    <w:pPr>
      <w:spacing w:lineRule="auto" w:line="240" w:before="0" w:after="0"/>
    </w:pPr>
    <w:rPr>
      <w:sz w:val="20"/>
      <w:szCs w:val="20"/>
    </w:rPr>
  </w:style>
  <w:style w:type="paragraph" w:styleId="Style27" w:customStyle="1">
    <w:name w:val="Footnote Text"/>
    <w:basedOn w:val="Normal"/>
    <w:uiPriority w:val="99"/>
    <w:semiHidden/>
    <w:rsid w:val="00c51517"/>
    <w:pPr>
      <w:spacing w:lineRule="auto" w:line="240" w:before="0" w:after="0"/>
    </w:pPr>
    <w:rPr>
      <w:sz w:val="20"/>
      <w:szCs w:val="20"/>
    </w:rPr>
  </w:style>
  <w:style w:type="paragraph" w:styleId="Style28" w:customStyle="1">
    <w:name w:val="Прижатый влево"/>
    <w:basedOn w:val="Normal"/>
    <w:next w:val="Normal"/>
    <w:qFormat/>
    <w:pPr>
      <w:widowControl w:val="false"/>
    </w:pPr>
    <w:rPr>
      <w:rFonts w:ascii="Arial" w:hAnsi="Arial" w:cs="Arial"/>
      <w:sz w:val="24"/>
      <w:szCs w:val="24"/>
    </w:rPr>
  </w:style>
  <w:style w:type="paragraph" w:styleId="Style29" w:customStyle="1">
    <w:name w:val="Содержимое таблицы"/>
    <w:basedOn w:val="Normal"/>
    <w:qFormat/>
    <w:pPr/>
    <w:rPr/>
  </w:style>
  <w:style w:type="paragraph" w:styleId="Style30" w:customStyle="1">
    <w:name w:val="Заголовок таблицы"/>
    <w:basedOn w:val="Style29"/>
    <w:qFormat/>
    <w:pPr/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 Unicode MS" w:cs="Mangal"/>
      <w:color w:val="auto"/>
      <w:kern w:val="0"/>
      <w:sz w:val="21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5" w:customStyle="1">
    <w:name w:val="WW8Num5"/>
    <w:qFormat/>
  </w:style>
  <w:style w:type="numbering" w:styleId="WW8Num4" w:customStyle="1">
    <w:name w:val="WW8Num4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uiPriority w:val="99"/>
    <w:rsid w:val="00d352e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99EC-5672-4732-B26A-C76F0CD0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LibreOffice/7.2.7.2$Windows_X86_64 LibreOffice_project/8d71d29d553c0f7dcbfa38fbfda25ee34cce99a2</Application>
  <AppVersion>15.0000</AppVersion>
  <Pages>15</Pages>
  <Words>1791</Words>
  <Characters>11703</Characters>
  <CharactersWithSpaces>13893</CharactersWithSpaces>
  <Paragraphs>455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2022-10-26T07:45:00Z</dcterms:created>
  <dc:creator>Экономист</dc:creator>
  <dc:description/>
  <dc:language>ru-RU</dc:language>
  <cp:lastModifiedBy/>
  <cp:lastPrinted>2023-02-01T10:29:16Z</cp:lastPrinted>
  <dcterms:modified xsi:type="dcterms:W3CDTF">2023-02-01T10:30:03Z</dcterms:modified>
  <cp:revision>4</cp:revision>
  <dc:subject/>
  <dc:title>АДМИНИСТРАЦИЯ МУНИЦИПАЛЬНОГО ОБРАЗОВАНИЯ «МЕЛЕКЕССКИЙ РАЙОН» УЛЬЯНОВСКОЙ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