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6" w:rsidRDefault="00043400">
      <w:pPr>
        <w:pStyle w:val="Heading1"/>
        <w:numPr>
          <w:ilvl w:val="0"/>
          <w:numId w:val="1"/>
        </w:numPr>
        <w:tabs>
          <w:tab w:val="left" w:pos="4536"/>
        </w:tabs>
        <w:ind w:left="15" w:right="-135"/>
        <w:rPr>
          <w:sz w:val="24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147320</wp:posOffset>
            </wp:positionV>
            <wp:extent cx="581660" cy="6356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0" t="-70" r="-10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B96" w:rsidRDefault="009A0B96">
      <w:pPr>
        <w:pStyle w:val="Heading1"/>
        <w:numPr>
          <w:ilvl w:val="0"/>
          <w:numId w:val="1"/>
        </w:numPr>
        <w:ind w:left="15" w:right="-135"/>
        <w:rPr>
          <w:b/>
          <w:bCs/>
          <w:sz w:val="24"/>
        </w:rPr>
      </w:pPr>
    </w:p>
    <w:p w:rsidR="009A0B96" w:rsidRDefault="009A0B96">
      <w:pPr>
        <w:pStyle w:val="Heading1"/>
        <w:numPr>
          <w:ilvl w:val="0"/>
          <w:numId w:val="1"/>
        </w:numPr>
        <w:ind w:left="15" w:right="-135"/>
        <w:jc w:val="center"/>
      </w:pPr>
    </w:p>
    <w:p w:rsidR="009A0B96" w:rsidRDefault="009A0B96">
      <w:pPr>
        <w:pStyle w:val="Heading1"/>
        <w:numPr>
          <w:ilvl w:val="0"/>
          <w:numId w:val="1"/>
        </w:numPr>
        <w:ind w:left="15" w:right="-135"/>
        <w:jc w:val="center"/>
      </w:pPr>
    </w:p>
    <w:p w:rsidR="009A0B96" w:rsidRDefault="009A0B96">
      <w:pPr>
        <w:pStyle w:val="Heading1"/>
        <w:numPr>
          <w:ilvl w:val="0"/>
          <w:numId w:val="1"/>
        </w:numPr>
        <w:ind w:left="15" w:right="-135"/>
        <w:jc w:val="center"/>
      </w:pPr>
    </w:p>
    <w:p w:rsidR="009A0B96" w:rsidRDefault="00043400">
      <w:pPr>
        <w:pStyle w:val="Heading1"/>
        <w:ind w:left="15" w:right="-135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cs="PT Astra Serif"/>
          <w:sz w:val="32"/>
          <w:szCs w:val="32"/>
        </w:rPr>
        <w:t>АДМИНИСТРАЦИЯ МУНИЦИПАЛЬНОГО ОБРАЗОВАНИЯ</w:t>
      </w:r>
    </w:p>
    <w:p w:rsidR="009A0B96" w:rsidRDefault="00043400">
      <w:pPr>
        <w:pStyle w:val="Heading1"/>
        <w:ind w:left="15" w:right="-135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cs="PT Astra Serif"/>
          <w:sz w:val="32"/>
          <w:szCs w:val="32"/>
        </w:rPr>
        <w:t>«НОВОМАЛЫКЛИНСКИЙ РАЙОН»</w:t>
      </w:r>
    </w:p>
    <w:p w:rsidR="009A0B96" w:rsidRDefault="00043400">
      <w:pPr>
        <w:pStyle w:val="Heading1"/>
        <w:ind w:left="15" w:right="-135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>
        <w:rPr>
          <w:rFonts w:ascii="PT Astra Serif" w:hAnsi="PT Astra Serif" w:cs="PT Astra Serif"/>
          <w:sz w:val="32"/>
          <w:szCs w:val="32"/>
        </w:rPr>
        <w:t>УЛЬЯНОВСКОЙ ОБЛАСТИ</w:t>
      </w:r>
    </w:p>
    <w:p w:rsidR="009A0B96" w:rsidRDefault="00043400">
      <w:pPr>
        <w:pStyle w:val="Heading3"/>
        <w:tabs>
          <w:tab w:val="left" w:pos="4536"/>
        </w:tabs>
        <w:ind w:left="15" w:right="-135"/>
        <w:rPr>
          <w:rFonts w:ascii="PT Astra Serif" w:hAnsi="PT Astra Serif" w:cs="PT Astra Serif"/>
          <w:b/>
          <w:bCs/>
          <w:sz w:val="48"/>
          <w:szCs w:val="48"/>
        </w:rPr>
      </w:pPr>
      <w:r>
        <w:rPr>
          <w:rFonts w:ascii="PT Astra Serif" w:hAnsi="PT Astra Serif" w:cs="Arial"/>
          <w:b/>
          <w:bCs/>
          <w:sz w:val="48"/>
          <w:szCs w:val="48"/>
        </w:rPr>
        <w:t>ПОСТАНОВЛЕНИЕ</w:t>
      </w:r>
    </w:p>
    <w:p w:rsidR="009A0B96" w:rsidRDefault="009A0B96">
      <w:pPr>
        <w:pStyle w:val="1"/>
        <w:spacing w:after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9A0B96" w:rsidRDefault="00043400">
      <w:pPr>
        <w:pStyle w:val="1"/>
        <w:spacing w:before="0" w:after="0"/>
      </w:pPr>
      <w:r>
        <w:rPr>
          <w:sz w:val="28"/>
          <w:szCs w:val="28"/>
        </w:rPr>
        <w:t xml:space="preserve">14 марта 2025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№18</w:t>
      </w:r>
      <w:r w:rsidR="00F83BF4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</w:t>
      </w:r>
    </w:p>
    <w:p w:rsidR="009A0B96" w:rsidRDefault="00043400" w:rsidP="00043400">
      <w:pPr>
        <w:pStyle w:val="1"/>
        <w:spacing w:before="0" w:after="0"/>
        <w:ind w:left="7788" w:firstLine="708"/>
        <w:rPr>
          <w:rFonts w:ascii="PT Astra Serif" w:hAnsi="PT Astra Serif"/>
        </w:rPr>
      </w:pPr>
      <w:r>
        <w:rPr>
          <w:sz w:val="28"/>
          <w:szCs w:val="28"/>
        </w:rPr>
        <w:t>Э</w:t>
      </w:r>
      <w:r>
        <w:t>кз</w:t>
      </w:r>
      <w:proofErr w:type="gramStart"/>
      <w:r>
        <w:t>0</w:t>
      </w:r>
      <w:proofErr w:type="gramEnd"/>
    </w:p>
    <w:tbl>
      <w:tblPr>
        <w:tblW w:w="9756" w:type="dxa"/>
        <w:tblInd w:w="42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28" w:type="dxa"/>
          <w:bottom w:w="55" w:type="dxa"/>
          <w:right w:w="55" w:type="dxa"/>
        </w:tblCellMar>
        <w:tblLook w:val="0000"/>
      </w:tblPr>
      <w:tblGrid>
        <w:gridCol w:w="4860"/>
        <w:gridCol w:w="4896"/>
      </w:tblGrid>
      <w:tr w:rsidR="009A0B96">
        <w:tc>
          <w:tcPr>
            <w:tcW w:w="48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left w:w="28" w:type="dxa"/>
            </w:tcMar>
          </w:tcPr>
          <w:p w:rsidR="009A0B96" w:rsidRDefault="009A0B96">
            <w:pPr>
              <w:widowControl w:val="0"/>
              <w:tabs>
                <w:tab w:val="left" w:pos="1280"/>
              </w:tabs>
              <w:snapToGrid w:val="0"/>
              <w:jc w:val="both"/>
              <w:rPr>
                <w:rFonts w:ascii="PT Astra Serif" w:hAnsi="PT Astra Serif"/>
              </w:rPr>
            </w:pPr>
          </w:p>
          <w:p w:rsidR="009A0B96" w:rsidRDefault="00043400">
            <w:pPr>
              <w:widowControl w:val="0"/>
              <w:tabs>
                <w:tab w:val="left" w:pos="128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        внесении          изменений</w:t>
            </w:r>
          </w:p>
          <w:p w:rsidR="009A0B96" w:rsidRDefault="00043400">
            <w:pPr>
              <w:widowControl w:val="0"/>
              <w:tabs>
                <w:tab w:val="left" w:pos="128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в постановление администрации </w:t>
            </w:r>
          </w:p>
          <w:p w:rsidR="009A0B96" w:rsidRDefault="00043400">
            <w:pPr>
              <w:widowControl w:val="0"/>
              <w:tabs>
                <w:tab w:val="left" w:pos="128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     образования</w:t>
            </w:r>
          </w:p>
          <w:p w:rsidR="009A0B96" w:rsidRDefault="00043400">
            <w:pPr>
              <w:widowControl w:val="0"/>
              <w:tabs>
                <w:tab w:val="left" w:pos="128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«Новомалыклинский        район»</w:t>
            </w:r>
          </w:p>
          <w:p w:rsidR="009A0B96" w:rsidRDefault="00043400">
            <w:pPr>
              <w:widowControl w:val="0"/>
              <w:tabs>
                <w:tab w:val="left" w:pos="128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от           22.03.2023             № 181</w:t>
            </w:r>
          </w:p>
        </w:tc>
        <w:tc>
          <w:tcPr>
            <w:tcW w:w="48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left w:w="28" w:type="dxa"/>
            </w:tcMar>
          </w:tcPr>
          <w:p w:rsidR="009A0B96" w:rsidRPr="00043400" w:rsidRDefault="009A0B96">
            <w:pPr>
              <w:pStyle w:val="a7"/>
              <w:widowControl w:val="0"/>
              <w:snapToGri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9A0B96" w:rsidRDefault="009A0B96">
      <w:pPr>
        <w:pStyle w:val="1"/>
        <w:spacing w:before="0" w:after="0"/>
        <w:rPr>
          <w:rFonts w:ascii="PT Astra Serif" w:hAnsi="PT Astra Serif"/>
        </w:rPr>
      </w:pPr>
    </w:p>
    <w:p w:rsidR="009A0B96" w:rsidRDefault="00043400">
      <w:pPr>
        <w:ind w:firstLine="540"/>
        <w:jc w:val="both"/>
        <w:rPr>
          <w:sz w:val="28"/>
          <w:szCs w:val="28"/>
        </w:rPr>
      </w:pPr>
      <w:bookmarkStart w:id="0" w:name="__DdeLink__7862_2926641377"/>
      <w:r>
        <w:rPr>
          <w:rFonts w:ascii="PT Astra Serif" w:hAnsi="PT Astra Serif"/>
          <w:sz w:val="28"/>
          <w:szCs w:val="28"/>
        </w:rPr>
        <w:t>В целях приведения нормативно-правовых актов в соответствии с действующим законодательством</w:t>
      </w:r>
      <w:bookmarkEnd w:id="0"/>
      <w:r>
        <w:rPr>
          <w:rFonts w:ascii="PT Astra Serif" w:hAnsi="PT Astra Serif"/>
          <w:sz w:val="28"/>
          <w:szCs w:val="28"/>
        </w:rPr>
        <w:t>, постановляю:</w:t>
      </w:r>
    </w:p>
    <w:p w:rsidR="009A0B96" w:rsidRDefault="00043400">
      <w:pPr>
        <w:pStyle w:val="western"/>
        <w:spacing w:before="0" w:after="0"/>
        <w:ind w:firstLine="51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муниципального образования «Новомалыклинский» от 22.03.2023 № 181 «Об утверждении муниципальной программы </w:t>
      </w:r>
      <w:r>
        <w:rPr>
          <w:rFonts w:ascii="PT Astra Serif" w:hAnsi="PT Astra Serif"/>
          <w:bCs/>
          <w:color w:val="000000"/>
          <w:sz w:val="28"/>
          <w:szCs w:val="28"/>
        </w:rPr>
        <w:t>«Молодежь</w:t>
      </w:r>
      <w:r>
        <w:rPr>
          <w:rFonts w:ascii="PT Astra Serif" w:hAnsi="PT Astra Serif"/>
          <w:color w:val="000000"/>
          <w:sz w:val="28"/>
          <w:szCs w:val="28"/>
        </w:rPr>
        <w:t>» на территории муниципального образования «Новомалыклинский район</w:t>
      </w:r>
      <w:r>
        <w:rPr>
          <w:rFonts w:ascii="PT Astra Serif" w:hAnsi="PT Astra Serif"/>
          <w:bCs/>
          <w:color w:val="000000"/>
          <w:sz w:val="28"/>
          <w:szCs w:val="28"/>
        </w:rPr>
        <w:t>» следующие изменения:</w:t>
      </w:r>
    </w:p>
    <w:p w:rsidR="009A0B96" w:rsidRDefault="00043400">
      <w:pPr>
        <w:pStyle w:val="western"/>
        <w:suppressAutoHyphens w:val="0"/>
        <w:spacing w:before="0" w:after="0"/>
        <w:ind w:firstLine="512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1.1. Паспорт муниципальной программы изложить в новой редакции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: «</w:t>
      </w:r>
      <w:proofErr w:type="gramEnd"/>
    </w:p>
    <w:p w:rsidR="009A0B96" w:rsidRDefault="009A0B96">
      <w:pPr>
        <w:jc w:val="center"/>
        <w:rPr>
          <w:rFonts w:ascii="PT Astra Serif" w:hAnsi="PT Astra Serif"/>
          <w:sz w:val="28"/>
          <w:szCs w:val="28"/>
        </w:rPr>
      </w:pPr>
    </w:p>
    <w:p w:rsidR="009A0B96" w:rsidRDefault="00043400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9A0B96" w:rsidRDefault="00043400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9A0B96" w:rsidRDefault="009A0B9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/>
      </w:tblPr>
      <w:tblGrid>
        <w:gridCol w:w="3889"/>
        <w:gridCol w:w="5713"/>
      </w:tblGrid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«Молодежь</w:t>
            </w:r>
            <w:r>
              <w:rPr>
                <w:color w:val="000000"/>
                <w:sz w:val="28"/>
                <w:szCs w:val="28"/>
              </w:rPr>
              <w:t>» на территории муниципального образования «Новомалыклинский район.</w:t>
            </w:r>
          </w:p>
        </w:tc>
      </w:tr>
      <w:tr w:rsidR="009A0B96">
        <w:trPr>
          <w:trHeight w:val="585"/>
        </w:trPr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«Новомалыклинский район» (далее — администрация района)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(соисполнители)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Управление образования администрации муниципального образования «Новомалыклинский район» </w:t>
            </w:r>
            <w:r>
              <w:rPr>
                <w:sz w:val="28"/>
                <w:szCs w:val="28"/>
              </w:rPr>
              <w:lastRenderedPageBreak/>
              <w:t>(далее — МУ Управление образования);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 администрации муниципального образования «Новомалыклинский район» (далее — отдел по делам молодежи);</w:t>
            </w:r>
          </w:p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культуры администрации муниципального образования «Новомалыклинский район» (далее — отдел по делам культуры).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не предусмотрены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Вовлечение молодежи в широкий спектр социально - значимых видов деятельности;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Решение проблемы занятости молодежи, в том числе оздоровления, труда и отдыха в период летних каникул;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Пропаганда здорового образа жизни среди молодежи;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Профилактика этнического и религиозно-политического экстремизма в молодежной среде;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Гражданско-патриотическое и духовно-нравственное воспитание молодежи, формирование активной гражданской позиции;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Привлечение молодежи Новомалыклинского района к участию в федеральных и региональных целевых программах;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Организация массовых районных молодёжных мероприятий (акции, фестивали, чемпионаты);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Поддержка деятельности общественных организаций и объединений, работающих с молодежью;</w:t>
            </w:r>
          </w:p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Поддержка талантливой и одаренной молодежи;</w:t>
            </w:r>
          </w:p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lastRenderedPageBreak/>
              <w:t>Информационно-методическое обеспечение молодежной политики.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bookmarkStart w:id="1" w:name="__DdeLink__1524_1701704578"/>
            <w:proofErr w:type="gramStart"/>
            <w:r>
              <w:rPr>
                <w:rFonts w:eastAsia="Courier New"/>
                <w:sz w:val="28"/>
                <w:szCs w:val="28"/>
              </w:rPr>
              <w:t>Удельный вес численности молодых людей в возрасте от 14 до 35 лет, участвующих в деятельности молодежных общественных объединений от общей численности молодых людей в возрасте от 14 до 35 лет</w:t>
            </w:r>
            <w:bookmarkEnd w:id="1"/>
            <w:r>
              <w:rPr>
                <w:rFonts w:eastAsia="Courier New"/>
                <w:sz w:val="28"/>
                <w:szCs w:val="28"/>
              </w:rPr>
              <w:t xml:space="preserve"> (целевое значение в 2022 году - 4 процента, в 2023 году 5 процентов, в 2024 году – 6 процентов, в 2025 году 7 процентов, в 2026 году – 8 процентов);</w:t>
            </w:r>
            <w:proofErr w:type="gramEnd"/>
          </w:p>
          <w:p w:rsidR="009A0B96" w:rsidRDefault="000434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Удельный вес численности молодых людей в возрасте от 14 до 35 лет, принимающих участие в добровольческой (волонтёрской) деятельности в общей численности молодых людей в возрасте от 14 до 35 лет </w:t>
            </w:r>
            <w:r>
              <w:rPr>
                <w:rFonts w:eastAsia="Courier New"/>
                <w:sz w:val="28"/>
                <w:szCs w:val="28"/>
              </w:rPr>
              <w:t>(целевое значение в 2022 году - 4 процента, в 2023 году 5 процентов, в 2024 году – 6 процентов, в 2025 году 7 процентов, в 2026 году – 8 процентов);</w:t>
            </w:r>
            <w:proofErr w:type="gramEnd"/>
          </w:p>
          <w:p w:rsidR="009A0B96" w:rsidRDefault="000434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молодых людей в возрасте от 14 до 35 лет, находящихся в трудной жизненной ситуации, вовлечённых в деятельность молодежных </w:t>
            </w:r>
            <w:r>
              <w:rPr>
                <w:rFonts w:eastAsia="Courier New"/>
                <w:sz w:val="28"/>
                <w:szCs w:val="28"/>
              </w:rPr>
              <w:t>общественных объединений</w:t>
            </w:r>
            <w:r>
              <w:rPr>
                <w:sz w:val="28"/>
                <w:szCs w:val="28"/>
              </w:rPr>
              <w:t xml:space="preserve"> (целевое значение в 2022 году - не менее 10 человек, в 2023 году не менее 15 человек, в 2024 году - не менее 20 человек, в 2025 году – не менее 25 человек, в 2026 году - не менее 30 человек);</w:t>
            </w:r>
            <w:proofErr w:type="gramEnd"/>
          </w:p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Удельный вес численности молодых людей в возрасте от 14 до 35 лет, участвующих в работе органов молодёжного самоуправления от</w:t>
            </w:r>
            <w:r>
              <w:rPr>
                <w:rFonts w:eastAsia="Courier New"/>
                <w:sz w:val="28"/>
                <w:szCs w:val="28"/>
              </w:rPr>
              <w:t xml:space="preserve"> общей численности молодых людей в возрасте от 14 до 35 ле</w:t>
            </w:r>
            <w:proofErr w:type="gramStart"/>
            <w:r>
              <w:rPr>
                <w:rFonts w:eastAsia="Courier New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целевое значение в 2022 году - не менее 4 процентов, в 2020 году - не менее 5 процентов, в 2021 году - не менее 6 процентов, в 2022 году – не менее 7 процентов, в 2023 году – не менее 8 процентов).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предусматривается в течение 2023-2027 годов в один этап.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с разбивкой по этапам и годам реализации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lastRenderedPageBreak/>
              <w:t xml:space="preserve">Общий объем необходимых финансовых </w:t>
            </w:r>
            <w:r>
              <w:rPr>
                <w:sz w:val="28"/>
                <w:szCs w:val="28"/>
              </w:rPr>
              <w:lastRenderedPageBreak/>
              <w:t>средств из бюджета муниципального образования «Новомалыклинский район» для реализации программы составляет – 230.064 тыс. рублей.</w:t>
            </w:r>
          </w:p>
          <w:p w:rsidR="009A0B96" w:rsidRDefault="000434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9A0B96" w:rsidRDefault="00043400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-70.064 тыс. рублей;</w:t>
            </w:r>
          </w:p>
          <w:p w:rsidR="009A0B96" w:rsidRDefault="000434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-40 тыс. рублей;</w:t>
            </w:r>
          </w:p>
          <w:p w:rsidR="009A0B96" w:rsidRDefault="000434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-40 тыс. рублей;</w:t>
            </w:r>
          </w:p>
          <w:p w:rsidR="009A0B96" w:rsidRDefault="000434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-40 тыс. рублей;</w:t>
            </w:r>
          </w:p>
          <w:p w:rsidR="009A0B96" w:rsidRDefault="00043400">
            <w:pPr>
              <w:widowControl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-40 тыс. рублей;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не предусмотрены</w:t>
            </w:r>
          </w:p>
        </w:tc>
      </w:tr>
      <w:tr w:rsidR="009A0B96"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в результате выполнения Программы будут получены следующие результаты, определяющие её социально-экономическую эффективность: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социальной напряженности в молодежной среде;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духовно-нравственного, интеллектуального и творческого потенциала;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здоровья, снижение смертности, наркомании в молодежной среде;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преступности среди молодежи;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молодёжи, участвующей в добровольческой (волонтёрской) деятельности, до 5 процентов;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людей, участвующих в работе органов молодёжного самоуправления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е менее 5 процентов;</w:t>
            </w:r>
          </w:p>
          <w:p w:rsidR="009A0B96" w:rsidRDefault="00043400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людей, находящихся в трудной жизненной ситуации, вовлечённых в проектную деятельность, не менее 50 человек.</w:t>
            </w:r>
          </w:p>
          <w:p w:rsidR="009A0B96" w:rsidRDefault="009A0B96">
            <w:pPr>
              <w:widowControl w:val="0"/>
              <w:jc w:val="right"/>
            </w:pPr>
          </w:p>
        </w:tc>
      </w:tr>
    </w:tbl>
    <w:p w:rsidR="009A0B96" w:rsidRDefault="00043400">
      <w:pPr>
        <w:jc w:val="right"/>
        <w:rPr>
          <w:b/>
          <w:bCs/>
          <w:sz w:val="28"/>
          <w:szCs w:val="28"/>
        </w:rPr>
        <w:sectPr w:rsidR="009A0B9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b/>
          <w:bCs/>
          <w:sz w:val="28"/>
          <w:szCs w:val="28"/>
        </w:rPr>
        <w:t>»</w:t>
      </w:r>
    </w:p>
    <w:p w:rsidR="009A0B96" w:rsidRDefault="00043400">
      <w:pPr>
        <w:pStyle w:val="western"/>
        <w:spacing w:before="0" w:after="0"/>
        <w:ind w:firstLine="51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</w:t>
      </w:r>
      <w:r w:rsidRPr="0004340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 Приложение №</w:t>
      </w:r>
      <w:r w:rsidRPr="0004340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«Перечень целевых индикаторов муниципальной программы» изложить в новой редакции</w:t>
      </w:r>
      <w:proofErr w:type="gramStart"/>
      <w:r>
        <w:rPr>
          <w:bCs/>
          <w:color w:val="000000"/>
          <w:sz w:val="28"/>
          <w:szCs w:val="28"/>
        </w:rPr>
        <w:t>: «</w:t>
      </w:r>
      <w:proofErr w:type="gramEnd"/>
    </w:p>
    <w:p w:rsidR="009A0B96" w:rsidRDefault="00043400">
      <w:pPr>
        <w:tabs>
          <w:tab w:val="left" w:pos="14317"/>
        </w:tabs>
        <w:spacing w:before="108" w:after="108" w:line="269" w:lineRule="atLeast"/>
        <w:ind w:right="-170"/>
        <w:jc w:val="right"/>
      </w:pPr>
      <w:r>
        <w:t>Приложение 1</w:t>
      </w:r>
    </w:p>
    <w:p w:rsidR="009A0B96" w:rsidRDefault="00043400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Перечень целевых индикаторов муниципальной программы</w:t>
      </w:r>
    </w:p>
    <w:p w:rsidR="009A0B96" w:rsidRDefault="009A0B9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/>
      </w:tblPr>
      <w:tblGrid>
        <w:gridCol w:w="511"/>
        <w:gridCol w:w="5458"/>
        <w:gridCol w:w="1190"/>
        <w:gridCol w:w="1295"/>
        <w:gridCol w:w="1112"/>
        <w:gridCol w:w="1282"/>
        <w:gridCol w:w="1280"/>
        <w:gridCol w:w="1290"/>
        <w:gridCol w:w="1162"/>
      </w:tblGrid>
      <w:tr w:rsidR="009A0B96"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6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9A0B96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9A0B96">
            <w:pPr>
              <w:widowControl w:val="0"/>
            </w:pPr>
          </w:p>
        </w:tc>
        <w:tc>
          <w:tcPr>
            <w:tcW w:w="5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9A0B96">
            <w:pPr>
              <w:widowControl w:val="0"/>
            </w:pP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9A0B96">
            <w:pPr>
              <w:widowControl w:val="0"/>
            </w:pPr>
          </w:p>
        </w:tc>
        <w:tc>
          <w:tcPr>
            <w:tcW w:w="12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9A0B96">
            <w:pPr>
              <w:widowControl w:val="0"/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A0B96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Удельный вес численности молодых людей в возрасте от 14 до 35 лет, участвующих в деятельности молодежных общественных объединений от общей численности молодых людей в возрасте от 14 до 35 лет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B96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</w:pPr>
            <w:r>
              <w:t>Удельный вес численности молодых людей в возрасте от 14 до 35 лет, принимающих участие в добровольческой (волонтёрской) деятельности, в общей численности молодых людей от 14 до 35 лет.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B96">
        <w:trPr>
          <w:trHeight w:val="1445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spacing w:after="200"/>
              <w:jc w:val="both"/>
            </w:pPr>
            <w:r>
              <w:rPr>
                <w:rFonts w:eastAsia="Courier New"/>
              </w:rPr>
              <w:t>Количество молодых людей в возрасте от 14 до 35 лет, находящихся в трудной жизненной ситуации, вовлечённых в деятельность молодежных общественных объединений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0B96">
        <w:trPr>
          <w:trHeight w:val="1230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widowControl w:val="0"/>
              <w:snapToGrid w:val="0"/>
              <w:jc w:val="both"/>
            </w:pPr>
            <w:r>
              <w:t xml:space="preserve">Удельный вес численности молодых людей в возрасте от 14 до 35 лет, участвующих в работе органов молодёжного самоуправления, </w:t>
            </w:r>
            <w:r>
              <w:rPr>
                <w:rFonts w:eastAsia="Courier New"/>
              </w:rPr>
              <w:t>в общей численности молодых людей от 14 до 35 лет.</w:t>
            </w:r>
          </w:p>
          <w:p w:rsidR="009A0B96" w:rsidRDefault="009A0B96">
            <w:pPr>
              <w:widowControl w:val="0"/>
              <w:spacing w:after="200"/>
              <w:ind w:firstLine="570"/>
              <w:jc w:val="both"/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A0B96" w:rsidRDefault="00043400">
      <w:pPr>
        <w:jc w:val="right"/>
        <w:rPr>
          <w:b/>
          <w:bCs/>
          <w:sz w:val="28"/>
          <w:szCs w:val="28"/>
        </w:rPr>
        <w:sectPr w:rsidR="009A0B96">
          <w:pgSz w:w="16838" w:h="11906" w:orient="landscape"/>
          <w:pgMar w:top="1134" w:right="820" w:bottom="851" w:left="1701" w:header="0" w:footer="0" w:gutter="0"/>
          <w:cols w:space="720"/>
          <w:formProt w:val="0"/>
          <w:docGrid w:linePitch="360" w:charSpace="-6145"/>
        </w:sectPr>
      </w:pPr>
      <w:r>
        <w:rPr>
          <w:b/>
          <w:bCs/>
          <w:sz w:val="28"/>
          <w:szCs w:val="28"/>
        </w:rPr>
        <w:t>»</w:t>
      </w:r>
    </w:p>
    <w:p w:rsidR="009A0B96" w:rsidRDefault="00043400">
      <w:pPr>
        <w:pStyle w:val="western"/>
        <w:spacing w:before="0" w:after="0"/>
        <w:ind w:firstLine="51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1.3. Приложение №2 «Система мероприятий муниципальной программы» изложить в новой редакции</w:t>
      </w:r>
      <w:proofErr w:type="gramStart"/>
      <w:r>
        <w:rPr>
          <w:bCs/>
          <w:color w:val="000000"/>
          <w:sz w:val="28"/>
          <w:szCs w:val="28"/>
        </w:rPr>
        <w:t>: «</w:t>
      </w:r>
      <w:proofErr w:type="gramEnd"/>
    </w:p>
    <w:p w:rsidR="009A0B96" w:rsidRDefault="0004340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9A0B96" w:rsidRDefault="009A0B96">
      <w:pPr>
        <w:pStyle w:val="ConsPlusNormal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A0B96" w:rsidRDefault="00043400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Система мероприятий муниципальной программы</w:t>
      </w:r>
    </w:p>
    <w:p w:rsidR="009A0B96" w:rsidRDefault="009A0B96"/>
    <w:tbl>
      <w:tblPr>
        <w:tblpPr w:leftFromText="181" w:rightFromText="181" w:vertAnchor="text" w:horzAnchor="margin" w:tblpY="1"/>
        <w:tblW w:w="14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/>
      </w:tblPr>
      <w:tblGrid>
        <w:gridCol w:w="563"/>
        <w:gridCol w:w="2459"/>
        <w:gridCol w:w="1658"/>
        <w:gridCol w:w="1849"/>
        <w:gridCol w:w="2261"/>
        <w:gridCol w:w="970"/>
        <w:gridCol w:w="966"/>
        <w:gridCol w:w="966"/>
        <w:gridCol w:w="978"/>
        <w:gridCol w:w="962"/>
        <w:gridCol w:w="938"/>
      </w:tblGrid>
      <w:tr w:rsidR="009A0B96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мероприятий </w:t>
            </w:r>
          </w:p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годам, тыс. руб.</w:t>
            </w:r>
          </w:p>
        </w:tc>
      </w:tr>
      <w:tr w:rsidR="009A0B96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pacing w:after="200"/>
              <w:jc w:val="center"/>
            </w:pPr>
            <w:r>
              <w:t>Формирование условий для гражданского становления, духовно-нравственного и патриотического воспитания молодёжи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105,487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58,987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22,5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МО «Новомалыклинский  район»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Ульяновской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 (далее – местный бюджет)</w:t>
            </w:r>
          </w:p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105,487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58,987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22,5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Проведение мероприятий для призывной и допризывной молодёжи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 xml:space="preserve">(День призывника, </w:t>
            </w:r>
            <w:r>
              <w:lastRenderedPageBreak/>
              <w:t>встречи с ветеранами войн и воинских конфликтов, областные соревнования)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9A0B96" w:rsidRDefault="00043400">
            <w:pPr>
              <w:widowControl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9A0B96" w:rsidRDefault="00043400">
            <w:pPr>
              <w:widowControl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9A0B96" w:rsidRDefault="00043400">
            <w:pPr>
              <w:widowControl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33,687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11,687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16,0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</w:tr>
      <w:tr w:rsidR="009A0B96">
        <w:trPr>
          <w:trHeight w:val="431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33,687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11,687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16,0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Проведение турнира по греко-римской борьбе посвященной памяти воинов погибших в локальных войнах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Организация мероприятий, посвященных победе в Великой Отечественной войне 1941-1945 годах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65,8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47,3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rPr>
          <w:trHeight w:val="1410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snapToGrid w:val="0"/>
              <w:spacing w:before="108" w:after="108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65,8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47,3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6,5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pacing w:after="200"/>
              <w:jc w:val="center"/>
            </w:pPr>
            <w:r>
              <w:t>Профилактика асоциальных явлений в молодёжной среде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 xml:space="preserve">Проведение «Активом молодежи» акций, направленных на профилактику </w:t>
            </w:r>
            <w:r>
              <w:lastRenderedPageBreak/>
              <w:t>правонарушений среди несовершеннолетних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lastRenderedPageBreak/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Интеллектуальное и творческое развитие молодёжи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52,577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11,077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17,5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52,577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11,077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17,5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3.1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Проведение массовых молодёжных мероприятий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52,577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11,077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17,5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52,577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11,077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17,5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Формирование здорового образа жизни, развитие массового молодёжного спорта, детского и семейного отдыха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lastRenderedPageBreak/>
              <w:t>4.1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Направление представителей молодежи  для участия в областных профильных сменах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4.2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Проведение массовых велопробегов в рамках развития велодвижения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Поддержка детских и молодёжных  общественных объединений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snapToGrid w:val="0"/>
              <w:spacing w:before="108" w:after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24,0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8,0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t>5.1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Создание условий для развития волонтёрской (добровольческой) и благотворительной деятельности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МУ Управление образования;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 xml:space="preserve">Отдел по </w:t>
            </w:r>
            <w:r>
              <w:rPr>
                <w:bCs/>
              </w:rPr>
              <w:lastRenderedPageBreak/>
              <w:t>делам культуры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Май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jc w:val="center"/>
            </w:pPr>
            <w:r>
              <w:lastRenderedPageBreak/>
              <w:t>5.2</w:t>
            </w:r>
          </w:p>
        </w:tc>
        <w:tc>
          <w:tcPr>
            <w:tcW w:w="2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Участие делегаций муниципального образования в международных, всероссийских, региональных конференциях, форумах, фестивалях, сборах, слетах.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Отдел по делам молодежи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bCs/>
              </w:rPr>
            </w:pPr>
            <w:r>
              <w:rPr>
                <w:bCs/>
              </w:rPr>
              <w:t>По приглашению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12,0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widowControl w:val="0"/>
              <w:snapToGrid w:val="0"/>
              <w:spacing w:before="108" w:after="108"/>
              <w:jc w:val="center"/>
            </w:pPr>
            <w:r>
              <w:t>4,0</w:t>
            </w:r>
          </w:p>
        </w:tc>
      </w:tr>
      <w:tr w:rsidR="009A0B96">
        <w:tc>
          <w:tcPr>
            <w:tcW w:w="65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230,064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70,064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A0B96">
        <w:tc>
          <w:tcPr>
            <w:tcW w:w="652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9A0B96">
            <w:pPr>
              <w:widowControl w:val="0"/>
              <w:jc w:val="center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230,064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70,064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0B96" w:rsidRDefault="00043400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</w:tbl>
    <w:p w:rsidR="009A0B96" w:rsidRDefault="0004340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A0B96" w:rsidRDefault="009A0B96">
      <w:pPr>
        <w:pStyle w:val="ConsPlusNormal"/>
        <w:ind w:left="496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A0B96" w:rsidRDefault="009A0B96">
      <w:pPr>
        <w:pStyle w:val="ConsPlusNormal"/>
        <w:ind w:left="4962"/>
        <w:jc w:val="center"/>
        <w:outlineLvl w:val="1"/>
        <w:rPr>
          <w:rFonts w:ascii="Times New Roman" w:hAnsi="Times New Roman"/>
          <w:sz w:val="28"/>
          <w:szCs w:val="28"/>
        </w:rPr>
        <w:sectPr w:rsidR="009A0B96">
          <w:pgSz w:w="16838" w:h="11906" w:orient="landscape"/>
          <w:pgMar w:top="1134" w:right="567" w:bottom="1134" w:left="1701" w:header="0" w:footer="0" w:gutter="0"/>
          <w:cols w:space="720"/>
          <w:formProt w:val="0"/>
          <w:docGrid w:linePitch="240" w:charSpace="-6145"/>
        </w:sectPr>
      </w:pPr>
    </w:p>
    <w:p w:rsidR="009A0B96" w:rsidRDefault="00043400">
      <w:pPr>
        <w:pStyle w:val="western"/>
        <w:spacing w:before="0" w:after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Настоящее постановление вступает в силу после его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9A0B96" w:rsidRDefault="00043400">
      <w:pPr>
        <w:pStyle w:val="western"/>
        <w:spacing w:before="0" w:after="0" w:line="276" w:lineRule="auto"/>
        <w:ind w:firstLine="540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Контроль  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 исполнением настоящего постановления возложить на и.о. первого заместителя главы администрации муниципального образования «Новомалыклинский район» Пискун А.А.</w:t>
      </w:r>
    </w:p>
    <w:p w:rsidR="009A0B96" w:rsidRDefault="009A0B96">
      <w:pPr>
        <w:pStyle w:val="western"/>
        <w:spacing w:before="0" w:after="0" w:line="276" w:lineRule="auto"/>
        <w:ind w:firstLine="540"/>
        <w:jc w:val="both"/>
        <w:rPr>
          <w:color w:val="000000"/>
          <w:sz w:val="28"/>
          <w:szCs w:val="28"/>
        </w:rPr>
      </w:pPr>
    </w:p>
    <w:p w:rsidR="00043400" w:rsidRPr="008657CD" w:rsidRDefault="00043400" w:rsidP="00043400">
      <w:pPr>
        <w:pStyle w:val="aa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  <w:lang w:val="ru-RU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  <w:lang w:val="ru-RU"/>
        </w:rPr>
        <w:t>муниципального</w:t>
      </w:r>
      <w:proofErr w:type="gramEnd"/>
    </w:p>
    <w:p w:rsidR="00043400" w:rsidRPr="008657CD" w:rsidRDefault="00043400" w:rsidP="00043400">
      <w:pPr>
        <w:pStyle w:val="aa"/>
        <w:ind w:left="-1134" w:firstLine="1134"/>
        <w:rPr>
          <w:rFonts w:ascii="PT Astra Serif" w:hAnsi="PT Astra Serif" w:cs="Times New Roman"/>
          <w:sz w:val="28"/>
          <w:szCs w:val="28"/>
          <w:lang w:val="ru-RU"/>
        </w:rPr>
      </w:pPr>
      <w:r w:rsidRPr="008657CD">
        <w:rPr>
          <w:rFonts w:ascii="PT Astra Serif" w:hAnsi="PT Astra Serif" w:cs="Times New Roman"/>
          <w:sz w:val="28"/>
          <w:szCs w:val="28"/>
          <w:lang w:val="ru-RU"/>
        </w:rPr>
        <w:t>образования «Новомалыклинский район»                          С.Д. Катиркина</w:t>
      </w:r>
    </w:p>
    <w:p w:rsidR="00043400" w:rsidRPr="00F02E05" w:rsidRDefault="00043400" w:rsidP="00043400">
      <w:pPr>
        <w:rPr>
          <w:sz w:val="20"/>
          <w:szCs w:val="20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western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A0B96" w:rsidRDefault="009A0B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9A0B96" w:rsidSect="009A0B9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5F"/>
    <w:multiLevelType w:val="multilevel"/>
    <w:tmpl w:val="DE26D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FF1B4B"/>
    <w:multiLevelType w:val="multilevel"/>
    <w:tmpl w:val="6332E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635451BD"/>
    <w:multiLevelType w:val="multilevel"/>
    <w:tmpl w:val="0C962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96"/>
    <w:rsid w:val="00043400"/>
    <w:rsid w:val="0014417F"/>
    <w:rsid w:val="00300A3A"/>
    <w:rsid w:val="009A0B96"/>
    <w:rsid w:val="00B707C5"/>
    <w:rsid w:val="00F8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A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A0B96"/>
    <w:pPr>
      <w:keepNext/>
      <w:jc w:val="right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9A0B96"/>
    <w:pPr>
      <w:keepNext/>
      <w:outlineLvl w:val="1"/>
    </w:pPr>
    <w:rPr>
      <w:sz w:val="28"/>
      <w:szCs w:val="20"/>
    </w:rPr>
  </w:style>
  <w:style w:type="paragraph" w:customStyle="1" w:styleId="Heading3">
    <w:name w:val="Heading 3"/>
    <w:basedOn w:val="a"/>
    <w:next w:val="a"/>
    <w:qFormat/>
    <w:rsid w:val="009A0B96"/>
    <w:pPr>
      <w:keepNext/>
      <w:jc w:val="center"/>
      <w:outlineLvl w:val="2"/>
    </w:pPr>
    <w:rPr>
      <w:sz w:val="28"/>
    </w:rPr>
  </w:style>
  <w:style w:type="character" w:customStyle="1" w:styleId="ListLabel1">
    <w:name w:val="ListLabel 1"/>
    <w:qFormat/>
    <w:rsid w:val="009A0B96"/>
    <w:rPr>
      <w:rFonts w:cs="Symbol"/>
      <w:sz w:val="28"/>
      <w:szCs w:val="24"/>
    </w:rPr>
  </w:style>
  <w:style w:type="character" w:customStyle="1" w:styleId="ListLabel2">
    <w:name w:val="ListLabel 2"/>
    <w:qFormat/>
    <w:rsid w:val="009A0B96"/>
    <w:rPr>
      <w:rFonts w:cs="Symbol"/>
      <w:sz w:val="24"/>
      <w:szCs w:val="24"/>
    </w:rPr>
  </w:style>
  <w:style w:type="character" w:customStyle="1" w:styleId="ListLabel3">
    <w:name w:val="ListLabel 3"/>
    <w:qFormat/>
    <w:rsid w:val="009A0B96"/>
    <w:rPr>
      <w:rFonts w:cs="Symbol"/>
      <w:sz w:val="24"/>
      <w:szCs w:val="24"/>
    </w:rPr>
  </w:style>
  <w:style w:type="character" w:customStyle="1" w:styleId="ListLabel4">
    <w:name w:val="ListLabel 4"/>
    <w:qFormat/>
    <w:rsid w:val="009A0B96"/>
    <w:rPr>
      <w:rFonts w:cs="Symbol"/>
      <w:sz w:val="24"/>
      <w:szCs w:val="24"/>
    </w:rPr>
  </w:style>
  <w:style w:type="character" w:customStyle="1" w:styleId="ListLabel5">
    <w:name w:val="ListLabel 5"/>
    <w:qFormat/>
    <w:rsid w:val="009A0B96"/>
    <w:rPr>
      <w:rFonts w:cs="Symbol"/>
      <w:sz w:val="24"/>
      <w:szCs w:val="24"/>
    </w:rPr>
  </w:style>
  <w:style w:type="character" w:customStyle="1" w:styleId="ListLabel6">
    <w:name w:val="ListLabel 6"/>
    <w:qFormat/>
    <w:rsid w:val="009A0B96"/>
    <w:rPr>
      <w:rFonts w:cs="Symbol"/>
      <w:sz w:val="24"/>
      <w:szCs w:val="24"/>
    </w:rPr>
  </w:style>
  <w:style w:type="character" w:customStyle="1" w:styleId="ListLabel7">
    <w:name w:val="ListLabel 7"/>
    <w:qFormat/>
    <w:rsid w:val="009A0B96"/>
    <w:rPr>
      <w:rFonts w:cs="Symbol"/>
      <w:sz w:val="24"/>
      <w:szCs w:val="24"/>
    </w:rPr>
  </w:style>
  <w:style w:type="character" w:customStyle="1" w:styleId="ListLabel8">
    <w:name w:val="ListLabel 8"/>
    <w:qFormat/>
    <w:rsid w:val="009A0B96"/>
    <w:rPr>
      <w:rFonts w:cs="Symbol"/>
      <w:sz w:val="24"/>
      <w:szCs w:val="24"/>
    </w:rPr>
  </w:style>
  <w:style w:type="character" w:customStyle="1" w:styleId="ListLabel9">
    <w:name w:val="ListLabel 9"/>
    <w:qFormat/>
    <w:rsid w:val="009A0B96"/>
    <w:rPr>
      <w:rFonts w:cs="Symbol"/>
      <w:sz w:val="24"/>
      <w:szCs w:val="24"/>
    </w:rPr>
  </w:style>
  <w:style w:type="character" w:customStyle="1" w:styleId="ListLabel10">
    <w:name w:val="ListLabel 10"/>
    <w:qFormat/>
    <w:rsid w:val="009A0B96"/>
    <w:rPr>
      <w:rFonts w:cs="Symbol"/>
      <w:sz w:val="28"/>
      <w:szCs w:val="24"/>
    </w:rPr>
  </w:style>
  <w:style w:type="character" w:customStyle="1" w:styleId="ListLabel11">
    <w:name w:val="ListLabel 11"/>
    <w:qFormat/>
    <w:rsid w:val="009A0B96"/>
    <w:rPr>
      <w:rFonts w:cs="Symbol"/>
      <w:sz w:val="24"/>
      <w:szCs w:val="24"/>
    </w:rPr>
  </w:style>
  <w:style w:type="character" w:customStyle="1" w:styleId="ListLabel12">
    <w:name w:val="ListLabel 12"/>
    <w:qFormat/>
    <w:rsid w:val="009A0B96"/>
    <w:rPr>
      <w:rFonts w:cs="Symbol"/>
      <w:sz w:val="24"/>
      <w:szCs w:val="24"/>
    </w:rPr>
  </w:style>
  <w:style w:type="character" w:customStyle="1" w:styleId="ListLabel13">
    <w:name w:val="ListLabel 13"/>
    <w:qFormat/>
    <w:rsid w:val="009A0B96"/>
    <w:rPr>
      <w:rFonts w:cs="Symbol"/>
      <w:sz w:val="24"/>
      <w:szCs w:val="24"/>
    </w:rPr>
  </w:style>
  <w:style w:type="character" w:customStyle="1" w:styleId="ListLabel14">
    <w:name w:val="ListLabel 14"/>
    <w:qFormat/>
    <w:rsid w:val="009A0B96"/>
    <w:rPr>
      <w:rFonts w:cs="Symbol"/>
      <w:sz w:val="24"/>
      <w:szCs w:val="24"/>
    </w:rPr>
  </w:style>
  <w:style w:type="character" w:customStyle="1" w:styleId="ListLabel15">
    <w:name w:val="ListLabel 15"/>
    <w:qFormat/>
    <w:rsid w:val="009A0B96"/>
    <w:rPr>
      <w:rFonts w:cs="Symbol"/>
      <w:sz w:val="24"/>
      <w:szCs w:val="24"/>
    </w:rPr>
  </w:style>
  <w:style w:type="character" w:customStyle="1" w:styleId="ListLabel16">
    <w:name w:val="ListLabel 16"/>
    <w:qFormat/>
    <w:rsid w:val="009A0B96"/>
    <w:rPr>
      <w:rFonts w:cs="Symbol"/>
      <w:sz w:val="24"/>
      <w:szCs w:val="24"/>
    </w:rPr>
  </w:style>
  <w:style w:type="character" w:customStyle="1" w:styleId="ListLabel17">
    <w:name w:val="ListLabel 17"/>
    <w:qFormat/>
    <w:rsid w:val="009A0B96"/>
    <w:rPr>
      <w:rFonts w:cs="Symbol"/>
      <w:sz w:val="24"/>
      <w:szCs w:val="24"/>
    </w:rPr>
  </w:style>
  <w:style w:type="character" w:customStyle="1" w:styleId="ListLabel18">
    <w:name w:val="ListLabel 18"/>
    <w:qFormat/>
    <w:rsid w:val="009A0B96"/>
    <w:rPr>
      <w:rFonts w:cs="Symbol"/>
      <w:sz w:val="24"/>
      <w:szCs w:val="24"/>
    </w:rPr>
  </w:style>
  <w:style w:type="character" w:customStyle="1" w:styleId="ListLabel19">
    <w:name w:val="ListLabel 19"/>
    <w:qFormat/>
    <w:rsid w:val="009A0B96"/>
    <w:rPr>
      <w:rFonts w:cs="Symbol"/>
      <w:sz w:val="28"/>
      <w:szCs w:val="24"/>
    </w:rPr>
  </w:style>
  <w:style w:type="character" w:customStyle="1" w:styleId="ListLabel20">
    <w:name w:val="ListLabel 20"/>
    <w:qFormat/>
    <w:rsid w:val="009A0B96"/>
    <w:rPr>
      <w:rFonts w:cs="Symbol"/>
      <w:sz w:val="24"/>
      <w:szCs w:val="24"/>
    </w:rPr>
  </w:style>
  <w:style w:type="character" w:customStyle="1" w:styleId="ListLabel21">
    <w:name w:val="ListLabel 21"/>
    <w:qFormat/>
    <w:rsid w:val="009A0B96"/>
    <w:rPr>
      <w:rFonts w:cs="Symbol"/>
      <w:sz w:val="24"/>
      <w:szCs w:val="24"/>
    </w:rPr>
  </w:style>
  <w:style w:type="character" w:customStyle="1" w:styleId="ListLabel22">
    <w:name w:val="ListLabel 22"/>
    <w:qFormat/>
    <w:rsid w:val="009A0B96"/>
    <w:rPr>
      <w:rFonts w:cs="Symbol"/>
      <w:sz w:val="24"/>
      <w:szCs w:val="24"/>
    </w:rPr>
  </w:style>
  <w:style w:type="character" w:customStyle="1" w:styleId="ListLabel23">
    <w:name w:val="ListLabel 23"/>
    <w:qFormat/>
    <w:rsid w:val="009A0B96"/>
    <w:rPr>
      <w:rFonts w:cs="Symbol"/>
      <w:sz w:val="24"/>
      <w:szCs w:val="24"/>
    </w:rPr>
  </w:style>
  <w:style w:type="character" w:customStyle="1" w:styleId="ListLabel24">
    <w:name w:val="ListLabel 24"/>
    <w:qFormat/>
    <w:rsid w:val="009A0B96"/>
    <w:rPr>
      <w:rFonts w:cs="Symbol"/>
      <w:sz w:val="24"/>
      <w:szCs w:val="24"/>
    </w:rPr>
  </w:style>
  <w:style w:type="character" w:customStyle="1" w:styleId="ListLabel25">
    <w:name w:val="ListLabel 25"/>
    <w:qFormat/>
    <w:rsid w:val="009A0B96"/>
    <w:rPr>
      <w:rFonts w:cs="Symbol"/>
      <w:sz w:val="24"/>
      <w:szCs w:val="24"/>
    </w:rPr>
  </w:style>
  <w:style w:type="character" w:customStyle="1" w:styleId="ListLabel26">
    <w:name w:val="ListLabel 26"/>
    <w:qFormat/>
    <w:rsid w:val="009A0B96"/>
    <w:rPr>
      <w:rFonts w:cs="Symbol"/>
      <w:sz w:val="24"/>
      <w:szCs w:val="24"/>
    </w:rPr>
  </w:style>
  <w:style w:type="character" w:customStyle="1" w:styleId="ListLabel27">
    <w:name w:val="ListLabel 27"/>
    <w:qFormat/>
    <w:rsid w:val="009A0B96"/>
    <w:rPr>
      <w:rFonts w:cs="Symbol"/>
      <w:sz w:val="24"/>
      <w:szCs w:val="24"/>
    </w:rPr>
  </w:style>
  <w:style w:type="paragraph" w:customStyle="1" w:styleId="a3">
    <w:name w:val="Заголовок"/>
    <w:basedOn w:val="a"/>
    <w:next w:val="a4"/>
    <w:qFormat/>
    <w:rsid w:val="009A0B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A0B96"/>
    <w:pPr>
      <w:spacing w:after="140" w:line="276" w:lineRule="auto"/>
    </w:pPr>
  </w:style>
  <w:style w:type="paragraph" w:styleId="a5">
    <w:name w:val="List"/>
    <w:basedOn w:val="a4"/>
    <w:rsid w:val="009A0B96"/>
    <w:rPr>
      <w:rFonts w:cs="Lucida Sans"/>
    </w:rPr>
  </w:style>
  <w:style w:type="paragraph" w:customStyle="1" w:styleId="Caption">
    <w:name w:val="Caption"/>
    <w:basedOn w:val="a"/>
    <w:qFormat/>
    <w:rsid w:val="009A0B96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9A0B96"/>
    <w:pPr>
      <w:suppressLineNumbers/>
    </w:pPr>
    <w:rPr>
      <w:rFonts w:cs="Lucida Sans"/>
    </w:rPr>
  </w:style>
  <w:style w:type="paragraph" w:customStyle="1" w:styleId="1">
    <w:name w:val="Обычный (веб)1"/>
    <w:basedOn w:val="a"/>
    <w:qFormat/>
    <w:rsid w:val="00F933AD"/>
    <w:pPr>
      <w:spacing w:before="280" w:after="119"/>
    </w:pPr>
  </w:style>
  <w:style w:type="paragraph" w:customStyle="1" w:styleId="western">
    <w:name w:val="western"/>
    <w:basedOn w:val="a"/>
    <w:qFormat/>
    <w:rsid w:val="00F933AD"/>
    <w:pPr>
      <w:spacing w:before="280" w:after="119"/>
    </w:pPr>
  </w:style>
  <w:style w:type="paragraph" w:customStyle="1" w:styleId="a7">
    <w:name w:val="Содержимое таблицы"/>
    <w:basedOn w:val="a"/>
    <w:qFormat/>
    <w:rsid w:val="00F933AD"/>
    <w:pPr>
      <w:suppressLineNumbers/>
    </w:pPr>
  </w:style>
  <w:style w:type="paragraph" w:customStyle="1" w:styleId="ConsPlusNormal">
    <w:name w:val="ConsPlusNormal"/>
    <w:qFormat/>
    <w:rsid w:val="009A0B96"/>
    <w:pPr>
      <w:suppressAutoHyphens/>
    </w:pPr>
    <w:rPr>
      <w:rFonts w:ascii="Arial" w:eastAsia="Times New Roman" w:hAnsi="Arial" w:cs="Times New Roman"/>
      <w:color w:val="00000A"/>
      <w:sz w:val="22"/>
      <w:lang w:eastAsia="zh-CN"/>
    </w:rPr>
  </w:style>
  <w:style w:type="paragraph" w:customStyle="1" w:styleId="a8">
    <w:name w:val="Прижатый влево"/>
    <w:basedOn w:val="a"/>
    <w:next w:val="a"/>
    <w:qFormat/>
    <w:rsid w:val="009A0B96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9A0B96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9">
    <w:name w:val="Заголовок таблицы"/>
    <w:basedOn w:val="a7"/>
    <w:qFormat/>
    <w:rsid w:val="009A0B96"/>
  </w:style>
  <w:style w:type="paragraph" w:styleId="aa">
    <w:name w:val="No Spacing"/>
    <w:uiPriority w:val="1"/>
    <w:qFormat/>
    <w:rsid w:val="00043400"/>
    <w:pPr>
      <w:suppressAutoHyphens/>
    </w:pPr>
    <w:rPr>
      <w:rFonts w:ascii="Calibri" w:eastAsia="Times New Roman" w:hAnsi="Calibri" w:cs="Calibri"/>
      <w:sz w:val="2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10108</Characters>
  <Application>Microsoft Office Word</Application>
  <DocSecurity>0</DocSecurity>
  <Lines>84</Lines>
  <Paragraphs>23</Paragraphs>
  <ScaleCrop>false</ScaleCrop>
  <Company>sborka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Àäìèíèñòðàöèÿ ÌÎ «Íîâîìàëûêëèíñêèéðàéîí»</dc:creator>
  <cp:lastModifiedBy>User</cp:lastModifiedBy>
  <cp:revision>4</cp:revision>
  <cp:lastPrinted>2025-02-06T14:25:00Z</cp:lastPrinted>
  <dcterms:created xsi:type="dcterms:W3CDTF">2025-03-14T06:36:00Z</dcterms:created>
  <dcterms:modified xsi:type="dcterms:W3CDTF">2025-03-14T11:59:00Z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